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933"/>
          <w:sz w:val="36"/>
          <w:szCs w:val="36"/>
        </w:rPr>
        <w:t xml:space="preserve">MinneMUDAC 2026: EDA Notebook Review</w:t>
      </w:r>
    </w:p>
    <w:p>
      <w:pPr>
        <w:spacing w:after="1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Review of EDA.ipynb (36 cells) · prepared September 24, 2026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Basis: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this review is based on the notebook's code and saved outputs, including its charts. The raw data files were not available for this review, so nothing has been re-run. Cell numbers count from 0 (the title cell). Please verify figures against the data before acting on them.</w:t>
      </w:r>
    </w:p>
    <w:p>
      <w:pPr>
        <w:pStyle w:val="Heading1"/>
        <w:pBdr>
          <w:bottom w:val="single" w:color="2F6B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F6B4F"/>
          <w:sz w:val="28"/>
          <w:szCs w:val="28"/>
        </w:rPr>
        <w:t xml:space="preserve">Part 1. What the team should fix</w:t>
      </w:r>
    </w:p>
    <w:p>
      <w:pPr>
        <w:spacing w:after="10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Ordered by priority. High items affect the numbers that later questions will build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580"/>
        <w:gridCol w:w="3580"/>
      </w:tblGrid>
      <w:tr>
        <w:trPr>
          <w:cantSplit/>
          <w:tblHeader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1F293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1F293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1F293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1F293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fix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8D7D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1. High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14, 15, 32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The household outlier rule misses a known error and mixes two problems. The filter HouseholdsReg &gt; 20 × IndividualsReg treats blank individuals as 0, so rows with missing individuals are flagged together with real typos. It also does not catch March 2025 Ramsey-Suburbs (83,909 households vs 13,735 individuals, ratio ≈ 6), which cell 14 itself calls a distortion.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Split into two checks: (a) suspected typo: households greater than individuals, or far above the site's own history; (b) missing individuals: treat as missing data, not as an outlier. Review each flagged row (e.g., Hubbard, Nov 2025: 6,670 households vs 239 individuals) and document the treatment.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8D7D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2. High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 13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Yearly totals and trend charts are built on uncleaned data. 2023 households (2.80M) include the 273,385 Waseca typo, roughly 10% of that year's total; the July 2023 spike in the chart comes from the same row.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Create one cleaned FSStats table and regenerate every table and chart from it. Keep the raw version only as an audit trail.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8D7D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3. High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11, 13, 16, 33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The three challenge metrics (visits, pounds distributed, individuals served) are not mapped to columns. The notebook uses HouseholdsReg, IndividualsReg and PoundsReg, and calls IndividualsReg both "monthly headcount" and "person-visits".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Confirm the mapping in the Data Dictionary (HouseholdsReg looks closest to the Glossary definition of a visit), state it once at the top of the notebook, and use one consistent name per metric.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8D7D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4. High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12, 15, 32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Missing values and zeros are counted but never separated. PoundsReg has 2,235 blanks and 1,588 zeros. A blank (site did not report) and a zero (site reported no activity) mean different things.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Agree on one rule (for example, check whether a site's blanks cluster in certain months or after it goes inactive), document it, and use it in every question, especially the Q7 forecast.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8D7D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5. High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16, 28, 31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County labels are not standardized. FSStats uses split labels (Hennepin-Minneapolis, Hennepin-Suburbs, Ramsey-Saint Paul, Ramsey-Suburbs); the helpline has typos and about 30% blank counties. Map the Meal Gap is published by county, and the label-overlap check in cell 31 compares text only.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Build a crosswalk from all labels to Minnesota's 87 counties (with FIPS codes; block_geoid in Organization can help where it is filled) and apply it to every dataset before any join.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8D7D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6. High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 5 (add new)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Nothing enforces the August rule. The catalog shows the latest dates (July 2026), but no check guards against August data entering later.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Add an assertion that every table's latest date is on or before 2026-07-31, and truncate every external series (prices, SNAP, etc.) at July 2026 when it is loaded. Using August data disqualifies the team.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CE9C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7. Medium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13, 18, 33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The "+61% individuals vs +27% pounds" comparison (2022 to 2025) does not control for coverage. Reporting sites and missing data differ by year (560 sites in 2022, 575 in 2024, 530 in 2025).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Repeat the comparison on a balanced panel of sites that reported consistently (or per reporting site) before concluding that pounds per person fell.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CE9C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8. Medium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13, 18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2026 is a partial year (Jan to Jul). The "~153M annualized" pounds figure multiplies by 12/7 and ignores seasonality.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Compare Jan–Jul 2026 with Jan–Jul of earlier years instead of annualizing.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CE9C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9. Medium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15, 32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Negative values (4 rows of PoundsReg, 1 of SeniorsReg) are handled by "drop or abs()". abs() assumes a sign typo; the rows could be corrections.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Inspect the rows first; treat them as missing unless the pattern is clear.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CE9C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10. Medium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12, 32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Duplicate site-months are reported as 44 rows in cell 12 but "43 keys" in the data-quality register.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Reconcile the two numbers, then decide by inspection which duplicates are blank copies and which are separate programs, and document the rule.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CE9C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11. Medium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16, 18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Food-bank name variants (Channel One Regional Food Bank*, North Country Food Bank Inc.) are noted but not merged, so the ranking chart uses uncleaned names.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Normalize names before ranking or aggregating.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FCE9C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12. Medium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20–23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Market Bucks: the chart shows Produce Bucks at $0 from about November 2025 (the notebook says "2026 YTD"), and the Market Bucks and Produce Bucks lines almost overlap through 2025.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Confirm with the Data Dictionary or the organizers whether the Produce Bucks change is a program or a reporting change and how the two fields relate. Sum same-day sessions to site-month before computing any rates.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DDE9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13. Low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 27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About 8,000 helpline contacts fall in hour 0 in the time-of-day chart. This looks like a default or missing timestamp rather than midnight calls. CallLength and Call Answered are 43–46% blank, so "most calls are 1–5 minutes" holds only for calls with a recorded length.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Check CallTime for default values and exclude them from time-of-day analysis; word duration statements as "of calls with a recorded length".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shd w:fill="DDE9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14. Low</w:t>
            </w:r>
          </w:p>
        </w:tc>
        <w:tc>
          <w:tcPr>
            <w:tcW w:type="dxa" w:w="130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Cells 2–3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Reproducibility: all warnings are silenced globally, the data path is Path(".") so the files must sit next to the notebook, and the setup lists unpinned packages.</w:t>
            </w:r>
          </w:p>
        </w:tc>
        <w:tc>
          <w:tcPr>
            <w:tcW w:type="dxa" w:w="3580"/>
            <w:tcBorders>
              <w:top w:val="single" w:color="C9D1CC" w:sz="4"/>
              <w:left w:val="single" w:color="C9D1CC" w:sz="4"/>
              <w:bottom w:val="single" w:color="C9D1CC" w:sz="4"/>
              <w:right w:val="single" w:color="C9D1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Silence only specific warnings, make the data path one variable at the top, and add a requirements file with versions.</w:t>
            </w:r>
          </w:p>
        </w:tc>
      </w:tr>
    </w:tbl>
    <w:p>
      <w:pPr>
        <w:pStyle w:val="Heading1"/>
        <w:pBdr>
          <w:bottom w:val="single" w:color="2F6B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F6B4F"/>
          <w:sz w:val="28"/>
          <w:szCs w:val="28"/>
        </w:rPr>
        <w:t xml:space="preserve">Part 2. Key points to know from the notebook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This is EDA only.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It does not yet answer Q1–Q8. There is no Map the Meal Gap, food price, SNAP enrollment or low-income/low-access (LILA) data in it. The latest date in every file is July 2026, so no August data is present.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The three metrics still need to be mapped to columns.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Visits, pounds distributed and individuals served versus HouseholdsReg, PoundsReg and IndividualsReg (see Fix 3). Confirm in the Data Dictionary.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A county crosswalk comes first for Q1.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FSStats uses split labels for Hennepin and Ramsey, while Map the Meal Gap is county-level. In Organization, block_geoid (where filled) carries the county FIPS code in its first 5 digits and the census tract in its first 11 digits, which also serves Q8.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Yearly totals are uncleaned, especially households.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A single Waseca row (July 2023) reports 273,385 households against 646 individuals. The 20× filter suggested in the notebook does not catch the March 2025 Ramsey-Suburbs error either (see Fix 1).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Blanks and zeros are different.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PoundsReg has 2,235 blanks and 1,588 zeros; this matters for totals and for the Q7 forecast.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Do not over-interpret "+61% individuals vs +27% pounds" (2022 to 2025).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Reporting coverage differs by year. Individuals jump in Feb–Mar 2023, which lines up with the end of SNAP emergency allotments (last issuance Feb 2023 per the Glossary). That is a hypothesis to test in Q5, not a finding. Pounds also step up between July and August 2023, which the notebook does not explain.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Q7 and the August rule.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August 2022–2025 is already in the provided data and is the natural basis for seasonality; the prohibition reads as August 2026 (confirm with the organizers if there is any doubt). Every external series must be cut at July 2026 when loaded.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The helpline is not a direct food-shelf demand signal.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Of 49,727 contacts, 19,094 have SNAP Rx as the reason (about 38% overall, 57% in 2026 YTD); food-shelf navigation is 8,108. About 30% of contacts have no county. Q2 is not scored for graduate teams, but calls can support the Q6 need measure.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Things the notebook did not flag.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The hour-0 spike in call times, the gap in the 20× outlier rule, and Produce Bucks at $0 since about November 2025.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The honest grain is site × month or county × month.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There is no person-level key across tables, so households cannot be followed from the helpline to a food shelf to a farmers market.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MinneMUDAC 2026 · EDA notebook review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2F6B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F6B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MinneMUDAC 2026 – EDA Notebook Review</dc:title>
  <dc:creator>Claude</dc:creator>
  <cp:lastModifiedBy>Un-named</cp:lastModifiedBy>
  <cp:revision>1</cp:revision>
  <dcterms:created xsi:type="dcterms:W3CDTF">2026-09-24T18:50:33.572Z</dcterms:created>
  <dcterms:modified xsi:type="dcterms:W3CDTF">2026-09-24T18:50:33.572Z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