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20786" w:rsidRDefault="00000000">
      <w:pPr>
        <w:rPr>
          <w:b/>
          <w:bCs/>
          <w:sz w:val="20"/>
          <w:szCs w:val="20"/>
        </w:rPr>
      </w:pPr>
      <w:r>
        <w:rPr>
          <w:b/>
          <w:bCs/>
          <w:sz w:val="20"/>
          <w:szCs w:val="20"/>
        </w:rPr>
        <w:t>Comparative Benchmarks</w:t>
      </w:r>
    </w:p>
    <w:p w14:paraId="00000002" w14:textId="77777777" w:rsidR="00820786" w:rsidRDefault="00820786">
      <w:pPr>
        <w:rPr>
          <w:b/>
          <w:bCs/>
          <w:sz w:val="20"/>
          <w:szCs w:val="20"/>
        </w:rPr>
      </w:pPr>
    </w:p>
    <w:p w14:paraId="00000003" w14:textId="77777777" w:rsidR="00820786" w:rsidRDefault="00820786">
      <w:pPr>
        <w:rPr>
          <w:b/>
          <w:bCs/>
          <w:sz w:val="20"/>
          <w:szCs w:val="20"/>
        </w:rPr>
      </w:pPr>
    </w:p>
    <w:p w14:paraId="00000004" w14:textId="77777777" w:rsidR="00820786" w:rsidRDefault="00000000">
      <w:pPr>
        <w:rPr>
          <w:b/>
          <w:bCs/>
          <w:sz w:val="20"/>
          <w:szCs w:val="20"/>
        </w:rPr>
      </w:pPr>
      <w:r>
        <w:rPr>
          <w:b/>
          <w:bCs/>
          <w:sz w:val="20"/>
          <w:szCs w:val="20"/>
        </w:rPr>
        <w:t>Notes about Performance of different Multi-Modal Methods</w:t>
      </w:r>
    </w:p>
    <w:p w14:paraId="00000005" w14:textId="77777777" w:rsidR="00820786" w:rsidRDefault="00820786">
      <w:pPr>
        <w:rPr>
          <w:b/>
          <w:bCs/>
          <w:sz w:val="20"/>
          <w:szCs w:val="20"/>
        </w:rPr>
      </w:pPr>
    </w:p>
    <w:p w14:paraId="00000006" w14:textId="77777777" w:rsidR="00820786" w:rsidRDefault="00000000">
      <w:pPr>
        <w:rPr>
          <w:sz w:val="20"/>
          <w:szCs w:val="20"/>
        </w:rPr>
      </w:pPr>
      <w:r>
        <w:rPr>
          <w:b/>
          <w:bCs/>
          <w:sz w:val="20"/>
          <w:szCs w:val="20"/>
        </w:rPr>
        <w:t xml:space="preserve">CLIP: </w:t>
      </w:r>
      <w:r>
        <w:rPr>
          <w:sz w:val="20"/>
          <w:szCs w:val="20"/>
        </w:rPr>
        <w:t xml:space="preserve">The performance of CLIP is highly dependent on the size of training batches used. This is because the method relies on negative batches as effective contrast. </w:t>
      </w:r>
    </w:p>
    <w:p w14:paraId="00000007" w14:textId="77777777" w:rsidR="00820786" w:rsidRDefault="00820786">
      <w:pPr>
        <w:rPr>
          <w:b/>
          <w:bCs/>
          <w:sz w:val="20"/>
          <w:szCs w:val="20"/>
        </w:rPr>
      </w:pPr>
    </w:p>
    <w:p w14:paraId="00000008" w14:textId="77777777" w:rsidR="00820786" w:rsidRDefault="00820786">
      <w:pPr>
        <w:rPr>
          <w:b/>
          <w:bCs/>
          <w:sz w:val="20"/>
          <w:szCs w:val="20"/>
        </w:rPr>
      </w:pPr>
    </w:p>
    <w:p w14:paraId="00000009" w14:textId="77777777" w:rsidR="00820786" w:rsidRDefault="00820786">
      <w:pPr>
        <w:rPr>
          <w:b/>
          <w:bCs/>
          <w:sz w:val="20"/>
          <w:szCs w:val="20"/>
        </w:rPr>
      </w:pPr>
    </w:p>
    <w:p w14:paraId="0000000A" w14:textId="77777777" w:rsidR="00820786" w:rsidRDefault="00820786">
      <w:pPr>
        <w:rPr>
          <w:b/>
          <w:bCs/>
          <w:sz w:val="20"/>
          <w:szCs w:val="20"/>
        </w:rPr>
      </w:pPr>
    </w:p>
    <w:p w14:paraId="0000000B" w14:textId="77777777" w:rsidR="00820786" w:rsidRDefault="00000000">
      <w:pPr>
        <w:rPr>
          <w:b/>
          <w:bCs/>
          <w:sz w:val="20"/>
          <w:szCs w:val="20"/>
        </w:rPr>
      </w:pPr>
      <w:r>
        <w:rPr>
          <w:b/>
          <w:bCs/>
          <w:sz w:val="20"/>
          <w:szCs w:val="20"/>
        </w:rPr>
        <w:t>Hyperparameter Tuning</w:t>
      </w:r>
    </w:p>
    <w:p w14:paraId="0000000C" w14:textId="77777777" w:rsidR="00820786" w:rsidRDefault="00820786">
      <w:pPr>
        <w:rPr>
          <w:sz w:val="20"/>
          <w:szCs w:val="20"/>
        </w:rPr>
      </w:pPr>
    </w:p>
    <w:p w14:paraId="0000000D" w14:textId="77777777" w:rsidR="00820786" w:rsidRDefault="00000000">
      <w:pPr>
        <w:rPr>
          <w:sz w:val="20"/>
          <w:szCs w:val="20"/>
        </w:rPr>
      </w:pPr>
      <w:r>
        <w:rPr>
          <w:sz w:val="20"/>
          <w:szCs w:val="20"/>
        </w:rPr>
        <w:t>We optimize model design with a coordinate‑descent hyperparameter search tailored to multi‑view learning. The procedure cycles through views; for the active view, it proposes a candidate configuration (architecture/regularization) while holding all other views at their current best. Each candidate is trained briefly and evaluated on a held‑out validation split. We accept an update only if it improves a single global objective—the mean cross‑view correlation of connected latent factors—thereby ensuring monotonic gains in performance. The cycle repeats across views for several outer passes, yielding a practical global architecture search without exhaustively exploring the joint space. After tuning, we retrain the selected configuration on the full training set and report performance on an untouched test set. Reproducibility is maintained via fixed splits and seeds; compute is managed by short training budgets per candidate and a small number of outer passes.</w:t>
      </w:r>
    </w:p>
    <w:p w14:paraId="0000000E" w14:textId="77777777" w:rsidR="00820786" w:rsidRDefault="00820786">
      <w:pPr>
        <w:rPr>
          <w:b/>
          <w:bCs/>
          <w:sz w:val="20"/>
          <w:szCs w:val="20"/>
        </w:rPr>
      </w:pPr>
    </w:p>
    <w:p w14:paraId="0000000F" w14:textId="77777777" w:rsidR="00820786" w:rsidRDefault="00000000">
      <w:pPr>
        <w:rPr>
          <w:b/>
          <w:bCs/>
          <w:sz w:val="20"/>
          <w:szCs w:val="20"/>
        </w:rPr>
      </w:pPr>
      <w:r>
        <w:rPr>
          <w:b/>
          <w:bCs/>
          <w:sz w:val="20"/>
          <w:szCs w:val="20"/>
        </w:rPr>
        <w:t>Between-View Attention</w:t>
      </w:r>
    </w:p>
    <w:p w14:paraId="3A80414A" w14:textId="77777777" w:rsidR="00B67E24" w:rsidRDefault="00B67E24">
      <w:pPr>
        <w:rPr>
          <w:b/>
          <w:bCs/>
          <w:sz w:val="20"/>
          <w:szCs w:val="20"/>
        </w:rPr>
      </w:pPr>
    </w:p>
    <w:p w14:paraId="1E1C6487" w14:textId="77777777" w:rsidR="00B67E24" w:rsidRDefault="00B67E24">
      <w:pPr>
        <w:rPr>
          <w:b/>
          <w:bCs/>
          <w:sz w:val="20"/>
          <w:szCs w:val="20"/>
        </w:rPr>
      </w:pPr>
    </w:p>
    <w:p w14:paraId="128EF734" w14:textId="3B322528" w:rsidR="00B67E24" w:rsidRDefault="00B67E24">
      <w:pPr>
        <w:rPr>
          <w:b/>
          <w:bCs/>
          <w:sz w:val="20"/>
          <w:szCs w:val="20"/>
        </w:rPr>
      </w:pPr>
      <w:r>
        <w:rPr>
          <w:b/>
          <w:bCs/>
          <w:sz w:val="20"/>
          <w:szCs w:val="20"/>
        </w:rPr>
        <w:t>New DLVPM Formulation</w:t>
      </w:r>
    </w:p>
    <w:p w14:paraId="4E11FF52" w14:textId="77777777" w:rsidR="00164FA6" w:rsidRDefault="00164FA6">
      <w:pPr>
        <w:rPr>
          <w:b/>
          <w:bCs/>
          <w:sz w:val="20"/>
          <w:szCs w:val="20"/>
        </w:rPr>
      </w:pPr>
    </w:p>
    <w:p w14:paraId="0627714B" w14:textId="77777777" w:rsidR="00164FA6" w:rsidRDefault="00164FA6">
      <w:pPr>
        <w:rPr>
          <w:b/>
          <w:bCs/>
          <w:sz w:val="20"/>
          <w:szCs w:val="20"/>
        </w:rPr>
      </w:pPr>
    </w:p>
    <w:p w14:paraId="40C5EC10" w14:textId="18D49560" w:rsidR="00164FA6" w:rsidRDefault="00164FA6">
      <w:pPr>
        <w:rPr>
          <w:b/>
          <w:bCs/>
          <w:sz w:val="20"/>
          <w:szCs w:val="20"/>
        </w:rPr>
      </w:pPr>
      <w:r>
        <w:rPr>
          <w:b/>
          <w:bCs/>
          <w:sz w:val="20"/>
          <w:szCs w:val="20"/>
        </w:rPr>
        <w:t>Add the definition of the original formulation of ZCA DLVPM.</w:t>
      </w:r>
    </w:p>
    <w:p w14:paraId="54BCB553" w14:textId="77777777" w:rsidR="00B67E24" w:rsidRDefault="00B67E24">
      <w:pPr>
        <w:rPr>
          <w:b/>
          <w:bCs/>
          <w:sz w:val="20"/>
          <w:szCs w:val="20"/>
        </w:rPr>
      </w:pPr>
    </w:p>
    <w:p w14:paraId="3A63ECC5" w14:textId="77777777" w:rsidR="000E3C7E" w:rsidRDefault="000E3C7E" w:rsidP="000E3C7E">
      <w:pPr>
        <w:rPr>
          <w:b/>
          <w:bCs/>
          <w:sz w:val="20"/>
          <w:szCs w:val="20"/>
          <w:lang w:val="en-US"/>
        </w:rPr>
      </w:pPr>
      <w:r w:rsidRPr="000E3C7E">
        <w:rPr>
          <w:b/>
          <w:bCs/>
          <w:sz w:val="20"/>
          <w:szCs w:val="20"/>
          <w:lang w:val="en-US"/>
        </w:rPr>
        <w:t>2.3 Path-Weighted Structural Ordering</w:t>
      </w:r>
    </w:p>
    <w:p w14:paraId="4D1476FF" w14:textId="77777777" w:rsidR="000E3C7E" w:rsidRPr="000E3C7E" w:rsidRDefault="000E3C7E" w:rsidP="000E3C7E">
      <w:pPr>
        <w:rPr>
          <w:sz w:val="20"/>
          <w:szCs w:val="20"/>
          <w:lang w:val="en-US"/>
        </w:rPr>
      </w:pPr>
    </w:p>
    <w:p w14:paraId="267F1E2E" w14:textId="4E41B7DB" w:rsidR="000E3C7E" w:rsidRDefault="000E3C7E" w:rsidP="000E3C7E">
      <w:pPr>
        <w:rPr>
          <w:sz w:val="20"/>
          <w:szCs w:val="20"/>
          <w:lang w:val="en-US"/>
        </w:rPr>
      </w:pPr>
      <w:r w:rsidRPr="000E3C7E">
        <w:rPr>
          <w:sz w:val="20"/>
          <w:szCs w:val="20"/>
          <w:lang w:val="en-US"/>
        </w:rPr>
        <w:t>While ZCA ensures the subspace is orthogonal, the resulting components in</w:t>
      </w:r>
      <w:r w:rsidR="00063FFE">
        <w:rPr>
          <w:sz w:val="20"/>
          <w:szCs w:val="20"/>
          <w:lang w:val="en-US"/>
        </w:rPr>
        <w:t xml:space="preserve">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sidR="00063FFE">
        <w:rPr>
          <w:sz w:val="20"/>
          <w:szCs w:val="20"/>
          <w:lang w:val="en-US"/>
        </w:rPr>
        <w:t xml:space="preserve"> </w:t>
      </w:r>
      <w:r w:rsidRPr="000E3C7E">
        <w:rPr>
          <w:sz w:val="20"/>
          <w:szCs w:val="20"/>
          <w:lang w:val="en-US"/>
        </w:rPr>
        <w:t>are not inherently ordered by structural importance. To impose a consistent global ordering that reflects the path model, we introduce a Path-Weighted Structural SVD step.</w:t>
      </w:r>
    </w:p>
    <w:p w14:paraId="4E9A1784" w14:textId="77777777" w:rsidR="00063FFE" w:rsidRPr="000E3C7E" w:rsidRDefault="00063FFE" w:rsidP="000E3C7E">
      <w:pPr>
        <w:rPr>
          <w:sz w:val="20"/>
          <w:szCs w:val="20"/>
          <w:lang w:val="en-US"/>
        </w:rPr>
      </w:pPr>
    </w:p>
    <w:p w14:paraId="1B032CEE" w14:textId="3A9EE2B3" w:rsidR="00B67E24" w:rsidRDefault="000E3C7E">
      <w:pPr>
        <w:rPr>
          <w:sz w:val="20"/>
          <w:szCs w:val="20"/>
          <w:lang w:val="en-US"/>
        </w:rPr>
      </w:pPr>
      <w:r w:rsidRPr="000E3C7E">
        <w:rPr>
          <w:sz w:val="20"/>
          <w:szCs w:val="20"/>
          <w:lang w:val="en-US"/>
        </w:rPr>
        <w:t>We define the global structural covariance</w:t>
      </w:r>
      <w:r w:rsidR="00063FFE">
        <w:rPr>
          <w:sz w:val="20"/>
          <w:szCs w:val="20"/>
          <w:lang w:val="en-US"/>
        </w:rPr>
        <w:t xml:space="preserve"> </w:t>
      </w: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D×D</m:t>
            </m:r>
          </m:sup>
        </m:sSup>
      </m:oMath>
      <w:r w:rsidRPr="000E3C7E">
        <w:rPr>
          <w:sz w:val="20"/>
          <w:szCs w:val="20"/>
          <w:lang w:val="en-US"/>
        </w:rPr>
        <w:t>, which aggregates the covariance shared across all defined paths in the model. This matrix is ​​calculated by accumulating the path-weighted cross-covariances:</w:t>
      </w:r>
    </w:p>
    <w:p w14:paraId="00000010" w14:textId="2604502F" w:rsidR="00820786" w:rsidRDefault="000E3C7E">
      <w:pPr>
        <w:rPr>
          <w:b/>
          <w:bCs/>
          <w:sz w:val="20"/>
          <w:szCs w:val="20"/>
        </w:rPr>
      </w:pPr>
      <m:oMathPara>
        <m:oMath>
          <m:r>
            <m:rPr>
              <m:sty m:val="b"/>
            </m:rPr>
            <w:rPr>
              <w:rFonts w:ascii="Cambria Math" w:hAnsi="Cambria Math"/>
              <w:sz w:val="20"/>
              <w:szCs w:val="20"/>
            </w:rPr>
            <m:t>Ω</m:t>
          </m:r>
          <m:r>
            <m:rPr>
              <m:sty m:val="bi"/>
            </m:rPr>
            <w:rPr>
              <w:rFonts w:ascii="Cambria Math" w:hAnsi="Cambria Math"/>
              <w:sz w:val="20"/>
              <w:szCs w:val="20"/>
            </w:rPr>
            <m:t>=</m:t>
          </m:r>
          <m:nary>
            <m:naryPr>
              <m:chr m:val="∑"/>
              <m:ctrlPr>
                <w:rPr>
                  <w:rFonts w:ascii="Cambria Math" w:hAnsi="Cambria Math"/>
                  <w:b/>
                  <w:bCs/>
                  <w:sz w:val="20"/>
                  <w:szCs w:val="20"/>
                </w:rPr>
              </m:ctrlPr>
            </m:naryPr>
            <m:sub>
              <m:r>
                <m:rPr>
                  <m:sty m:val="bi"/>
                </m:rPr>
                <w:rPr>
                  <w:rFonts w:ascii="Cambria Math" w:hAnsi="Cambria Math"/>
                  <w:sz w:val="20"/>
                  <w:szCs w:val="20"/>
                </w:rPr>
                <m:t>i,j,i</m:t>
              </m:r>
              <m:r>
                <m:rPr>
                  <m:sty m:val="b"/>
                </m:rPr>
                <w:rPr>
                  <w:rFonts w:ascii="Cambria Math" w:hAnsi="Cambria Math"/>
                  <w:sz w:val="20"/>
                  <w:szCs w:val="20"/>
                </w:rPr>
                <m:t>≠</m:t>
              </m:r>
              <m:r>
                <m:rPr>
                  <m:sty m:val="bi"/>
                </m:rPr>
                <w:rPr>
                  <w:rFonts w:ascii="Cambria Math" w:hAnsi="Cambria Math"/>
                  <w:sz w:val="20"/>
                  <w:szCs w:val="20"/>
                </w:rPr>
                <m:t>i</m:t>
              </m:r>
              <m:ctrlPr>
                <w:rPr>
                  <w:rFonts w:ascii="Cambria Math" w:hAnsi="Cambria Math"/>
                  <w:b/>
                  <w:bCs/>
                  <w:i/>
                  <w:sz w:val="20"/>
                  <w:szCs w:val="20"/>
                </w:rPr>
              </m:ctrlPr>
            </m:sub>
            <m:sup>
              <m:r>
                <m:rPr>
                  <m:sty m:val="bi"/>
                </m:rPr>
                <w:rPr>
                  <w:rFonts w:ascii="Cambria Math" w:hAnsi="Cambria Math"/>
                  <w:sz w:val="20"/>
                  <w:szCs w:val="20"/>
                </w:rPr>
                <m:t>K</m:t>
              </m:r>
              <m:ctrlPr>
                <w:rPr>
                  <w:rFonts w:ascii="Cambria Math" w:hAnsi="Cambria Math"/>
                  <w:b/>
                  <w:bCs/>
                  <w:i/>
                  <w:sz w:val="20"/>
                  <w:szCs w:val="20"/>
                </w:rPr>
              </m:ctrlPr>
            </m:sup>
            <m:e>
              <m:sSub>
                <m:sSubPr>
                  <m:ctrlPr>
                    <w:rPr>
                      <w:rFonts w:ascii="Cambria Math" w:hAnsi="Cambria Math"/>
                      <w:b/>
                      <w:bCs/>
                      <w:i/>
                      <w:sz w:val="20"/>
                      <w:szCs w:val="20"/>
                    </w:rPr>
                  </m:ctrlPr>
                </m:sSubPr>
                <m:e>
                  <m:r>
                    <m:rPr>
                      <m:sty m:val="bi"/>
                    </m:rPr>
                    <w:rPr>
                      <w:rFonts w:ascii="Cambria Math" w:hAnsi="Cambria Math"/>
                      <w:sz w:val="20"/>
                      <w:szCs w:val="20"/>
                    </w:rPr>
                    <m:t>c</m:t>
                  </m:r>
                </m:e>
                <m:sub>
                  <m:r>
                    <m:rPr>
                      <m:sty m:val="bi"/>
                    </m:rPr>
                    <w:rPr>
                      <w:rFonts w:ascii="Cambria Math" w:hAnsi="Cambria Math"/>
                      <w:sz w:val="20"/>
                      <w:szCs w:val="20"/>
                    </w:rPr>
                    <m:t>ij</m:t>
                  </m:r>
                </m:sub>
              </m:sSub>
              <m:sSubSup>
                <m:sSubSupPr>
                  <m:ctrlPr>
                    <w:rPr>
                      <w:rFonts w:ascii="Cambria Math" w:hAnsi="Cambria Math"/>
                      <w:b/>
                      <w:bCs/>
                      <w:i/>
                      <w:sz w:val="20"/>
                      <w:szCs w:val="20"/>
                    </w:rPr>
                  </m:ctrlPr>
                </m:sSubSupPr>
                <m:e>
                  <m:r>
                    <m:rPr>
                      <m:sty m:val="bi"/>
                    </m:rPr>
                    <w:rPr>
                      <w:rFonts w:ascii="Cambria Math" w:hAnsi="Cambria Math"/>
                      <w:sz w:val="20"/>
                      <w:szCs w:val="20"/>
                    </w:rPr>
                    <m:t>Y</m:t>
                  </m:r>
                </m:e>
                <m:sub>
                  <m:r>
                    <m:rPr>
                      <m:sty m:val="bi"/>
                    </m:rPr>
                    <w:rPr>
                      <w:rFonts w:ascii="Cambria Math" w:hAnsi="Cambria Math"/>
                      <w:sz w:val="20"/>
                      <w:szCs w:val="20"/>
                    </w:rPr>
                    <m:t>i</m:t>
                  </m:r>
                </m:sub>
                <m:sup>
                  <m:r>
                    <m:rPr>
                      <m:sty m:val="b"/>
                    </m:rPr>
                    <w:rPr>
                      <w:rFonts w:ascii="Cambria Math" w:hAnsi="Cambria Math"/>
                      <w:sz w:val="20"/>
                      <w:szCs w:val="20"/>
                    </w:rPr>
                    <m:t>⊤</m:t>
                  </m:r>
                </m:sup>
              </m:sSubSup>
              <m:sSub>
                <m:sSubPr>
                  <m:ctrlPr>
                    <w:rPr>
                      <w:rFonts w:ascii="Cambria Math" w:hAnsi="Cambria Math"/>
                      <w:b/>
                      <w:bCs/>
                      <w:i/>
                      <w:sz w:val="20"/>
                      <w:szCs w:val="20"/>
                    </w:rPr>
                  </m:ctrlPr>
                </m:sSubPr>
                <m:e>
                  <m:r>
                    <m:rPr>
                      <m:sty m:val="bi"/>
                    </m:rPr>
                    <w:rPr>
                      <w:rFonts w:ascii="Cambria Math" w:hAnsi="Cambria Math"/>
                      <w:sz w:val="20"/>
                      <w:szCs w:val="20"/>
                    </w:rPr>
                    <m:t>Y</m:t>
                  </m:r>
                </m:e>
                <m:sub>
                  <m:r>
                    <m:rPr>
                      <m:sty m:val="bi"/>
                    </m:rPr>
                    <w:rPr>
                      <w:rFonts w:ascii="Cambria Math" w:hAnsi="Cambria Math"/>
                      <w:sz w:val="20"/>
                      <w:szCs w:val="20"/>
                    </w:rPr>
                    <m:t>j</m:t>
                  </m:r>
                </m:sub>
              </m:sSub>
              <m:ctrlPr>
                <w:rPr>
                  <w:rFonts w:ascii="Cambria Math" w:hAnsi="Cambria Math"/>
                  <w:b/>
                  <w:bCs/>
                  <w:i/>
                  <w:sz w:val="20"/>
                  <w:szCs w:val="20"/>
                </w:rPr>
              </m:ctrlPr>
            </m:e>
          </m:nary>
        </m:oMath>
      </m:oMathPara>
    </w:p>
    <w:p w14:paraId="1AE1B054" w14:textId="232EF923" w:rsidR="000E3C7E" w:rsidRDefault="000E3C7E" w:rsidP="000E3C7E">
      <w:pPr>
        <w:rPr>
          <w:sz w:val="20"/>
          <w:szCs w:val="20"/>
        </w:rPr>
      </w:pPr>
      <w:r>
        <w:t>To identify the axes of maximum structural consistency, we perform an eigen</w:t>
      </w:r>
      <w:r w:rsidR="00063FFE">
        <w:t>-</w:t>
      </w:r>
      <w:r>
        <w:t>decomposition on the symmetric part of</w:t>
      </w:r>
      <w:r w:rsidR="00063FFE">
        <w:t>:</w:t>
      </w:r>
    </w:p>
    <w:p w14:paraId="00000011" w14:textId="5F363DF6" w:rsidR="00820786" w:rsidRDefault="00820786">
      <w:pPr>
        <w:rPr>
          <w:sz w:val="20"/>
          <w:szCs w:val="20"/>
        </w:rPr>
      </w:pPr>
    </w:p>
    <w:p w14:paraId="00000012" w14:textId="77777777" w:rsidR="00820786" w:rsidRDefault="00820786">
      <w:pPr>
        <w:rPr>
          <w:sz w:val="20"/>
          <w:szCs w:val="20"/>
        </w:rPr>
      </w:pPr>
    </w:p>
    <w:p w14:paraId="646272C0" w14:textId="288BF6BA" w:rsidR="000E3C7E" w:rsidRDefault="000E3C7E">
      <w:pPr>
        <w:rPr>
          <w:sz w:val="20"/>
          <w:szCs w:val="20"/>
        </w:rPr>
      </w:pPr>
      <m:oMathPara>
        <m:oMath>
          <m:r>
            <m:rPr>
              <m:sty m:val="b"/>
            </m:rPr>
            <w:rPr>
              <w:rFonts w:ascii="Cambria Math" w:hAnsi="Cambria Math"/>
            </w:rPr>
            <w:lastRenderedPageBreak/>
            <m:t>RΛ</m:t>
          </m:r>
          <m:sSup>
            <m:sSupPr>
              <m:ctrlPr>
                <w:rPr>
                  <w:rFonts w:ascii="Cambria Math" w:hAnsi="Cambria Math"/>
                  <w:b/>
                  <w:bCs/>
                </w:rPr>
              </m:ctrlPr>
            </m:sSupPr>
            <m:e>
              <m:r>
                <m:rPr>
                  <m:sty m:val="b"/>
                </m:rPr>
                <w:rPr>
                  <w:rFonts w:ascii="Cambria Math" w:hAnsi="Cambria Math"/>
                </w:rPr>
                <m:t>R</m:t>
              </m:r>
            </m:e>
            <m:sup>
              <m:r>
                <m:rPr>
                  <m:sty m:val="b"/>
                </m:rPr>
                <w:rPr>
                  <w:rFonts w:ascii="Cambria Math" w:hAnsi="Cambria Math"/>
                </w:rPr>
                <m:t>⊤</m:t>
              </m:r>
            </m:sup>
          </m:sSup>
          <m:r>
            <m:rPr>
              <m:sty m:val="p"/>
            </m:rPr>
            <w:rPr>
              <w:rFonts w:ascii="Cambria Math" w:hAnsi="Cambria Math"/>
            </w:rPr>
            <m:t>=</m:t>
          </m:r>
          <m:r>
            <m:rPr>
              <m:nor/>
            </m:rPr>
            <w:rPr>
              <w:rFonts w:ascii="Cambria Math" w:hAnsi="Cambria Math"/>
            </w:rPr>
            <m:t>Eig</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Ω+</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e>
              </m:d>
            </m:e>
          </m:d>
        </m:oMath>
      </m:oMathPara>
    </w:p>
    <w:p w14:paraId="00000013" w14:textId="77777777" w:rsidR="00820786" w:rsidRDefault="00820786">
      <w:pPr>
        <w:rPr>
          <w:sz w:val="20"/>
          <w:szCs w:val="20"/>
        </w:rPr>
      </w:pPr>
    </w:p>
    <w:p w14:paraId="00000014" w14:textId="663AA8B1" w:rsidR="00820786" w:rsidRDefault="00823595">
      <w:r>
        <w:t>W</w:t>
      </w:r>
      <w:r w:rsidR="000E3C7E">
        <w:t>here</w:t>
      </w:r>
      <w:r>
        <w:rPr>
          <w:rStyle w:val="math-inline"/>
        </w:rPr>
        <w:t xml:space="preserve"> </w:t>
      </w:r>
      <m:oMath>
        <m:r>
          <m:rPr>
            <m:sty m:val="p"/>
          </m:rPr>
          <w:rPr>
            <w:rFonts w:ascii="Cambria Math" w:hAnsi="Cambria Math"/>
          </w:rPr>
          <m:t>R∈</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D×D</m:t>
            </m:r>
          </m:sup>
        </m:sSup>
      </m:oMath>
      <w:r w:rsidR="000E3C7E">
        <w:t>is the rotation matrix and</w:t>
      </w:r>
      <w:r>
        <w:t xml:space="preserve"> </w:t>
      </w:r>
      <m:oMath>
        <m:r>
          <m:rPr>
            <m:sty m:val="b"/>
          </m:rPr>
          <w:rPr>
            <w:rFonts w:ascii="Cambria Math" w:hAnsi="Cambria Math"/>
          </w:rPr>
          <m:t>Λ</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D</m:t>
            </m:r>
          </m:sup>
        </m:sSup>
      </m:oMath>
      <w:r w:rsidR="000E3C7E">
        <w:t>contains the sorted eigenvalues ​​representing the structural strength of each component. The final ordered latent scores</w:t>
      </w:r>
      <w:r w:rsidR="00063FFE">
        <w:t xml:space="preserve"> </w:t>
      </w:r>
      <m:oMath>
        <m:sSub>
          <m:sSubPr>
            <m:ctrlPr>
              <w:rPr>
                <w:rFonts w:ascii="Cambria Math" w:hAnsi="Cambria Math"/>
              </w:rPr>
            </m:ctrlPr>
          </m:sSubPr>
          <m:e>
            <m:r>
              <m:rPr>
                <m:sty m:val="b"/>
              </m:rPr>
              <w:rPr>
                <w:rFonts w:ascii="Cambria Math" w:hAnsi="Cambria Math"/>
              </w:rPr>
              <m:t>Y</m:t>
            </m:r>
          </m:e>
          <m:sub>
            <m:sSup>
              <m:sSupPr>
                <m:ctrlPr>
                  <w:rPr>
                    <w:rFonts w:ascii="Cambria Math" w:hAnsi="Cambria Math"/>
                  </w:rPr>
                </m:ctrlPr>
              </m:sSupPr>
              <m:e>
                <m:r>
                  <m:rPr>
                    <m:sty m:val="b"/>
                  </m:rPr>
                  <w:rPr>
                    <w:rFonts w:ascii="Cambria Math" w:hAnsi="Cambria Math"/>
                  </w:rPr>
                  <m:t>i</m:t>
                </m:r>
              </m:e>
              <m:sup>
                <m:r>
                  <m:rPr>
                    <m:sty m:val="p"/>
                  </m:rPr>
                  <w:rPr>
                    <w:rFonts w:ascii="Cambria Math" w:hAnsi="Cambria Math"/>
                  </w:rPr>
                  <m:t>*</m:t>
                </m:r>
              </m:sup>
            </m:sSup>
          </m:sub>
        </m:sSub>
      </m:oMath>
      <w:r w:rsidR="00063FFE">
        <w:t xml:space="preserve"> are </w:t>
      </w:r>
      <w:r w:rsidR="000E3C7E">
        <w:t>obtained by applying this common rotation to all views:</w:t>
      </w:r>
    </w:p>
    <w:p w14:paraId="46D52BEF" w14:textId="77777777" w:rsidR="000E3C7E" w:rsidRDefault="000E3C7E"/>
    <w:p w14:paraId="487E4CCF" w14:textId="44D49D8D" w:rsidR="000E3C7E" w:rsidRDefault="00000000">
      <w:pPr>
        <w:rPr>
          <w:sz w:val="20"/>
          <w:szCs w:val="20"/>
        </w:rPr>
      </w:pPr>
      <m:oMathPara>
        <m:oMath>
          <m:sSub>
            <m:sSubPr>
              <m:ctrlPr>
                <w:rPr>
                  <w:rFonts w:ascii="Cambria Math" w:hAnsi="Cambria Math"/>
                </w:rPr>
              </m:ctrlPr>
            </m:sSubPr>
            <m:e>
              <m:r>
                <m:rPr>
                  <m:sty m:val="p"/>
                </m:rPr>
                <w:rPr>
                  <w:rFonts w:ascii="Cambria Math" w:hAnsi="Cambria Math"/>
                </w:rPr>
                <m:t>Y</m:t>
              </m:r>
            </m:e>
            <m:sub>
              <m:sSup>
                <m:sSupPr>
                  <m:ctrlPr>
                    <w:rPr>
                      <w:rFonts w:ascii="Cambria Math" w:hAnsi="Cambria Math"/>
                    </w:rPr>
                  </m:ctrlPr>
                </m:sSupPr>
                <m:e>
                  <m:r>
                    <m:rPr>
                      <m:sty m:val="p"/>
                    </m:rPr>
                    <w:rPr>
                      <w:rFonts w:ascii="Cambria Math" w:hAnsi="Cambria Math"/>
                    </w:rPr>
                    <m:t>i</m:t>
                  </m:r>
                </m:e>
                <m:sup>
                  <m:r>
                    <m:rPr>
                      <m:sty m:val="p"/>
                    </m:rPr>
                    <w:rPr>
                      <w:rFonts w:ascii="Cambria Math" w:hAnsi="Cambria Math"/>
                    </w:rPr>
                    <m:t>*</m:t>
                  </m:r>
                </m:sup>
              </m:sSup>
            </m:sub>
          </m:sSub>
          <m:r>
            <m:rPr>
              <m:sty m:val="p"/>
            </m:rPr>
            <w:rPr>
              <w:rFonts w:ascii="Cambria Math" w:hAnsi="Cambria Math"/>
            </w:rPr>
            <m:t>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 R</m:t>
          </m:r>
        </m:oMath>
      </m:oMathPara>
    </w:p>
    <w:p w14:paraId="00000015" w14:textId="77777777" w:rsidR="00820786" w:rsidRDefault="00820786">
      <w:pPr>
        <w:rPr>
          <w:sz w:val="20"/>
          <w:szCs w:val="20"/>
        </w:rPr>
      </w:pPr>
    </w:p>
    <w:p w14:paraId="00000016" w14:textId="4EC3804D" w:rsidR="00820786" w:rsidRDefault="000C256E">
      <w:r>
        <w:t xml:space="preserve">This gives a very stable and very fast ordering of latent variables. </w:t>
      </w:r>
    </w:p>
    <w:sectPr w:rsidR="008207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DA8C2C5-5E35-B14B-B1C7-707A9BF1F94C}"/>
    <w:embedBold r:id="rId2" w:fontKey="{9D080682-8697-0349-8F01-842441B8A17C}"/>
    <w:embedItalic r:id="rId3" w:fontKey="{6FCA2FE5-0EB0-A447-BDB1-88BE419A0535}"/>
    <w:embedBoldItalic r:id="rId4" w:fontKey="{37FC8426-28FF-D041-85CE-EA4A3AEC1115}"/>
  </w:font>
  <w:font w:name="Times New Roman">
    <w:panose1 w:val="02020603050405020304"/>
    <w:charset w:val="00"/>
    <w:family w:val="roman"/>
    <w:pitch w:val="variable"/>
    <w:sig w:usb0="E0002EFF" w:usb1="C000785B" w:usb2="00000009" w:usb3="00000000" w:csb0="000001FF" w:csb1="00000000"/>
    <w:embedRegular r:id="rId5" w:fontKey="{AB44C05B-C193-904F-A2B9-4267378B3CE3}"/>
  </w:font>
  <w:font w:name="Cambria Math">
    <w:panose1 w:val="02040503050406030204"/>
    <w:charset w:val="00"/>
    <w:family w:val="roman"/>
    <w:pitch w:val="variable"/>
    <w:sig w:usb0="E00002FF" w:usb1="420024FF" w:usb2="00000000" w:usb3="00000000" w:csb0="0000019F" w:csb1="00000000"/>
    <w:embedRegular r:id="rId6" w:fontKey="{F0B3DF85-F792-AA41-802C-F4C8F315FBA3}"/>
    <w:embedBold r:id="rId7" w:fontKey="{7C709CB7-9EEB-9D42-AE66-1EB659D89A17}"/>
    <w:embedItalic r:id="rId8" w:fontKey="{56274353-5CEF-D04A-B0AC-37E135F769C2}"/>
    <w:embedBoldItalic r:id="rId9" w:fontKey="{224F4824-FBE2-4640-B44E-DF5A5376AFC5}"/>
  </w:font>
  <w:font w:name="Calibri">
    <w:panose1 w:val="020F0502020204030204"/>
    <w:charset w:val="00"/>
    <w:family w:val="swiss"/>
    <w:pitch w:val="variable"/>
    <w:sig w:usb0="E0002AFF" w:usb1="C000247B" w:usb2="00000009" w:usb3="00000000" w:csb0="000001FF" w:csb1="00000000"/>
    <w:embedRegular r:id="rId10" w:fontKey="{AEC0DCFD-B017-8E43-A6C8-6D98A728A88C}"/>
  </w:font>
  <w:font w:name="Cambria">
    <w:panose1 w:val="02040503050406030204"/>
    <w:charset w:val="00"/>
    <w:family w:val="roman"/>
    <w:pitch w:val="variable"/>
    <w:sig w:usb0="E00002FF" w:usb1="400004FF" w:usb2="00000000" w:usb3="00000000" w:csb0="0000019F" w:csb1="00000000"/>
    <w:embedRegular r:id="rId11" w:fontKey="{EAC2D953-2718-2C48-8FD5-1FF32C299C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786"/>
    <w:rsid w:val="00063FFE"/>
    <w:rsid w:val="000C256E"/>
    <w:rsid w:val="000E3C7E"/>
    <w:rsid w:val="00164FA6"/>
    <w:rsid w:val="001A6C25"/>
    <w:rsid w:val="003C771C"/>
    <w:rsid w:val="00820786"/>
    <w:rsid w:val="00823595"/>
    <w:rsid w:val="00890265"/>
    <w:rsid w:val="00A92207"/>
    <w:rsid w:val="00AD277A"/>
    <w:rsid w:val="00B67E24"/>
    <w:rsid w:val="00EA1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C2212"/>
  <w15:docId w15:val="{BDE84425-48B9-C043-8357-AB984B1E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0E3C7E"/>
    <w:rPr>
      <w:color w:val="666666"/>
    </w:rPr>
  </w:style>
  <w:style w:type="character" w:customStyle="1" w:styleId="math-inline">
    <w:name w:val="math-inline"/>
    <w:basedOn w:val="DefaultParagraphFont"/>
    <w:rsid w:val="000E3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B400-Admin</dc:creator>
  <cp:keywords/>
  <dc:description/>
  <cp:lastModifiedBy>B400-Admin</cp:lastModifiedBy>
  <cp:revision>2</cp:revision>
  <dcterms:created xsi:type="dcterms:W3CDTF">2026-03-13T11:38:00Z</dcterms:created>
  <dcterms:modified xsi:type="dcterms:W3CDTF">2026-03-13T11:38:00Z</dcterms:modified>
</cp:coreProperties>
</file>