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cdzyt2t392ae" w:id="0"/>
      <w:bookmarkEnd w:id="0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RN001: </w:t>
      </w:r>
      <w:r w:rsidDel="00000000" w:rsidR="00000000" w:rsidRPr="00000000">
        <w:rPr>
          <w:rtl w:val="0"/>
        </w:rPr>
        <w:t xml:space="preserve">Quando o cliente cancelar o evento deve-se pagar uma multa de acordo com o contrato definido pela Vale Verde Eventos.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RN002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Os pagamentos para os parceiros devem ocorrer na semana do evento.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RN003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 cliente poderá realizar alterações de contrato até a semana do evento.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RN004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 cliente não terá contato direto com os parceiros/fornecedores.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: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