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Acquire (obter)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nessa fase os dados serão obtidos das fontes CSV do script lattes e do banco de dados do sistema acadêmico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Parse (analisar)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nessa fase os dados serão analisados pela ferramenta de ETL pentaho data integration (PDI)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Filter (filtrar)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os dados do script lattes e do sistema acadêmico deverão ser filtrados utilizando o protocolo para inserção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Mine (minerar)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nessa fase do processo será utilizado o framework hadoop para realizar a mineração dos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Represent (apresentar)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aqui será utilizado o D3.js para apresentar os KPIs adquiridos nos processos anteriores. Será disponibilizado um portal WEB onde os dashboards estarão.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Refine (refinar)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-&gt; Interact (interagir)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