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Estrategia "Go ETB Go"</w:t>
      </w:r>
    </w:p>
    <w:p>
      <w:pPr>
        <w:spacing w:after="200"/>
      </w:pPr>
    </w:p>
    <w:p>
      <w:r>
        <w:t xml:space="preserve">Sí, la estrategia "Go ETB Go" es una operativa detallada en el documento proporcionado. Se define como una variante de la técnica "Go Pause Go", que consiste en un movimiento alcista, una consolidación pequeña y una nueva subida.</w:t>
      </w:r>
    </w:p>
    <w:p>
      <w:pPr>
        <w:spacing w:after="200"/>
      </w:pPr>
    </w:p>
    <w:p>
      <w:r>
        <w:t xml:space="preserve">Las siglas </w:t>
      </w:r>
      <w:r>
        <w:rPr>
          <w:b/>
          <w:bCs/>
        </w:rPr>
        <w:t xml:space="preserve">ETB</w:t>
      </w:r>
      <w:r>
        <w:t xml:space="preserve"> significan </w:t>
      </w:r>
      <w:r>
        <w:rPr>
          <w:b/>
          <w:bCs/>
        </w:rPr>
        <w:t xml:space="preserve">Easy To Borrow</w:t>
      </w:r>
      <w:r>
        <w:t xml:space="preserve"> (fácil de pedir prestado), lo cual es un requisito fundamental: la acción debe tener disponibilidad para operar en corto (borrows), preferiblemente de forma gratuita.</w:t>
      </w:r>
    </w:p>
    <w:p>
      <w:pPr>
        <w:pStyle w:val="Heading2"/>
      </w:pPr>
      <w:r>
        <w:t xml:space="preserve">1. Identificación y Características del Activo</w:t>
      </w:r>
    </w:p>
    <w:p>
      <w:r>
        <w:t xml:space="preserve">Para que una acción sea candidata a este trade, debe cumplir los siguientes criterios:</w:t>
      </w:r>
    </w:p>
    <w:p>
      <w:pPr>
        <w:spacing w:after="100"/>
      </w:pPr>
    </w:p>
    <w:p>
      <w:r>
        <w:rPr>
          <w:b/>
          <w:bCs/>
        </w:rPr>
        <w:t xml:space="preserve">Low Float: </w:t>
      </w:r>
      <w:r>
        <w:t xml:space="preserve">Preferiblemente menos de 10 millones de acciones en circulación (se descartan las de más de 30-40 millones).</w:t>
      </w:r>
    </w:p>
    <w:p>
      <w:r>
        <w:rPr>
          <w:b/>
          <w:bCs/>
        </w:rPr>
        <w:t xml:space="preserve">Volumen y Precio: </w:t>
      </w:r>
      <w:r>
        <w:t xml:space="preserve">Debe subir con un volumen relativo muy alto en una sesión y no ceder más del 50% de la ganancia al cierre de la jornada.</w:t>
      </w:r>
    </w:p>
    <w:p>
      <w:r>
        <w:rPr>
          <w:b/>
          <w:bCs/>
        </w:rPr>
        <w:t xml:space="preserve">Catalizador: </w:t>
      </w:r>
      <w:r>
        <w:t xml:space="preserve">El aumento de precio debe estar justificado por una noticia relevante de la empresa o de su sector.</w:t>
      </w:r>
    </w:p>
    <w:p>
      <w:r>
        <w:rPr>
          <w:b/>
          <w:bCs/>
        </w:rPr>
        <w:t xml:space="preserve">Subida Racional: </w:t>
      </w:r>
      <w:r>
        <w:t xml:space="preserve">Se buscan movimientos de entre el 20% y el 100% el primer día; subidas excesivas (como un gap del 300%) suelen descartarse para esta operativa específica.</w:t>
      </w:r>
    </w:p>
    <w:p>
      <w:pPr>
        <w:pStyle w:val="Heading2"/>
      </w:pPr>
      <w:r>
        <w:t xml:space="preserve">2. Proceso de Seguimiento</w:t>
      </w:r>
    </w:p>
    <w:p>
      <w:r>
        <w:rPr>
          <w:b/>
          <w:bCs/>
        </w:rPr>
        <w:t xml:space="preserve">Día 2 (Observación): </w:t>
      </w:r>
      <w:r>
        <w:t xml:space="preserve">Se vigila si la acción mantiene el 50% o más de la ganancia del primer día. Si aguanta, indica que los vendedores en corto (shorts) no tienen fuerza para hundirla, lo cual es una señal alcista.</w:t>
      </w:r>
    </w:p>
    <w:p>
      <w:r>
        <w:rPr>
          <w:b/>
          <w:bCs/>
        </w:rPr>
        <w:t xml:space="preserve">Día 3 (Acción): </w:t>
      </w:r>
      <w:r>
        <w:t xml:space="preserve">A partir del tercer día se busca el patrón de entrada.</w:t>
      </w:r>
    </w:p>
    <w:p>
      <w:pPr>
        <w:pStyle w:val="Heading2"/>
      </w:pPr>
      <w:r>
        <w:t xml:space="preserve">3. Ejecución y Entradas</w:t>
      </w:r>
    </w:p>
    <w:p>
      <w:r>
        <w:t xml:space="preserve">La estrategia utiliza diferentes tipos de entrada según la apertura del precio:</w:t>
      </w:r>
    </w:p>
    <w:p>
      <w:pPr>
        <w:spacing w:after="100"/>
      </w:pPr>
    </w:p>
    <w:p>
      <w:r>
        <w:rPr>
          <w:b/>
          <w:bCs/>
        </w:rPr>
        <w:t xml:space="preserve">Agresiva (Full Size): </w:t>
      </w:r>
      <w:r>
        <w:t xml:space="preserve">Si el precio abre superando el máximo del primer día por menos de un 1%, se entra con un stop en el mínimo del día (mínimo de la vela).</w:t>
      </w:r>
    </w:p>
    <w:p>
      <w:r>
        <w:rPr>
          <w:b/>
          <w:bCs/>
        </w:rPr>
        <w:t xml:space="preserve">Defensiva (1/2 o 1/4 Size): </w:t>
      </w:r>
      <w:r>
        <w:t xml:space="preserve">Si abre cerca del rango del segundo día, se busca un patrón claro pero con menor exposición, ya que estos intentos suelen fallar más a menudo.</w:t>
      </w:r>
    </w:p>
    <w:p>
      <w:pPr>
        <w:pStyle w:val="Heading2"/>
      </w:pPr>
      <w:r>
        <w:t xml:space="preserve">4. Patrones de Entrada Recurrentes</w:t>
      </w:r>
    </w:p>
    <w:p>
      <w:r>
        <w:t xml:space="preserve">El autor menciona tres patrones principales para ejecutar el trade:</w:t>
      </w:r>
    </w:p>
    <w:p>
      <w:pPr>
        <w:pStyle w:val="Heading3"/>
      </w:pPr>
      <w:r>
        <w:t xml:space="preserve">Rectángulo</w:t>
      </w:r>
    </w:p>
    <w:p>
      <w:r>
        <w:t xml:space="preserve">Una consolidación donde el precio marca una resistencia arriba y se apoya cada vez más alto hasta romper con volumen.</w:t>
      </w:r>
    </w:p>
    <w:p>
      <w:pPr>
        <w:pStyle w:val="Heading3"/>
      </w:pPr>
      <w:r>
        <w:t xml:space="preserve">Banderita alcista</w:t>
      </w:r>
    </w:p>
    <w:p>
      <w:r>
        <w:t xml:space="preserve">Una mini consolidación tras la cual el precio rompe con fuerza y volumen.</w:t>
      </w:r>
    </w:p>
    <w:p>
      <w:pPr>
        <w:pStyle w:val="Heading3"/>
      </w:pPr>
      <w:r>
        <w:t xml:space="preserve">Doble Máximo</w:t>
      </w:r>
    </w:p>
    <w:p>
      <w:r>
        <w:t xml:space="preserve">Se vigila una acción que ha tenido un volumen relativo masivo y se busca la entrada cuando rompe el máximo anterior, aprovechando el "atrapamiento" de los vendedores en corto (short squeeze).</w:t>
      </w:r>
    </w:p>
    <w:p>
      <w:pPr>
        <w:pStyle w:val="Heading2"/>
      </w:pPr>
      <w:r>
        <w:t xml:space="preserve">Tipos de Banderas (Flag Types)</w:t>
      </w:r>
    </w:p>
    <w:p>
      <w:pPr>
        <w:jc w:val="center"/>
      </w:pPr>
      <w:r>
        <w:drawing>
          <wp:inline distT="0" distB="0" distL="0" distR="0">
            <wp:extent cx="5238750" cy="3238500"/>
            <wp:effectExtent t="0" r="0" b="0" l="0"/>
            <wp:docPr id="1" name="flag_types" descr="Patrones de banderas alcistas y bajistas" title="Flag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3238500"/>
                    </a:xfrm>
                    <a:prstGeom prst="rect">
                      <a:avLst/>
                    </a:prstGeom>
                  </pic:spPr>
                </pic:pic>
              </a:graphicData>
            </a:graphic>
          </wp:inline>
        </w:drawing>
      </w:r>
    </w:p>
    <w:p>
      <w:pPr>
        <w:spacing w:before="100" w:after="200"/>
        <w:jc w:val="center"/>
      </w:pPr>
      <w:r>
        <w:rPr>
          <w:i/>
          <w:iCs/>
          <w:sz w:val="20"/>
          <w:szCs w:val="20"/>
        </w:rPr>
        <w:t xml:space="preserve">Imagen: Patrones de banderas alcistas y bajistas utilizados en análisis técnico</w:t>
      </w:r>
    </w:p>
    <w:p>
      <w:pPr>
        <w:pStyle w:val="Heading2"/>
      </w:pPr>
      <w:r>
        <w:t xml:space="preserve">Objetivo</w:t>
      </w:r>
    </w:p>
    <w:p>
      <w:r>
        <w:t xml:space="preserve">El objetivo final es buscar </w:t>
      </w:r>
      <w:r>
        <w:rPr>
          <w:b/>
          <w:bCs/>
        </w:rPr>
        <w:t xml:space="preserve">ratios riesgo-beneficio elevados</w:t>
      </w:r>
      <w:r>
        <w:t xml:space="preserve"> (de 5:1 hasta 15:1), manteniendo siempre stops muy limitados para proteger el capital.</w:t>
      </w:r>
    </w:p>
    <w:p>
      <w:r>
        <w:br w:type="page"/>
      </w:r>
    </w:p>
    <w:p>
      <w:pPr>
        <w:pStyle w:val="Heading2"/>
      </w:pPr>
      <w:r>
        <w:t xml:space="preserve">Validación Científica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Componente "Go ETB Go"</w:t>
            </w:r>
          </w:p>
        </w:tc>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Concepto Científico</w:t>
            </w:r>
          </w:p>
        </w:tc>
        <w:tc>
          <w:tcPr>
            <w:tcW w:type="dxa" w:w="3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Hallazgo Académico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Low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Market Microstructure Inefficiency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Mayor volatilidad y riesgo de manipulación/squeeze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ETB (Easy to Borrow)</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i/>
                <w:iCs/>
              </w:rPr>
              <w:t xml:space="preserve">Short Sale Constraints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Las acciones HTB tienen más riesgo de squeeze, las ETB permiten entrada/salida fluida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Volumen Relativo Alto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Informed Trading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Volumen inusual indica presencia de institucionales o noticias de alto impacto</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Consolidación (Pause)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i/>
                <w:iCs/>
              </w:rPr>
              <w:t xml:space="preserve">Mean Reversion vs. Momentum</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Periodos de baja volatilidad antes de una expansión (compresión)</w:t>
            </w:r>
          </w:p>
        </w:tc>
      </w:tr>
    </w:tbl>
    <w:p>
      <w:pPr>
        <w:pStyle w:val="Heading2"/>
        <w:spacing w:before="400"/>
      </w:pPr>
      <w:r>
        <w:t xml:space="preserve">Conclusión</w:t>
      </w:r>
    </w:p>
    <w:p>
      <w:r>
        <w:t xml:space="preserve">La estrategia es una aplicación práctica de la </w:t>
      </w:r>
      <w:r>
        <w:rPr>
          <w:b/>
          <w:bCs/>
        </w:rPr>
        <w:t xml:space="preserve">anomalía de momentum</w:t>
      </w:r>
      <w:r>
        <w:t xml:space="preserve"> y el </w:t>
      </w:r>
      <w:r>
        <w:rPr>
          <w:b/>
          <w:bCs/>
        </w:rPr>
        <w:t xml:space="preserve">estrangulamiento de oferta</w:t>
      </w:r>
      <w:r>
        <w:t xml:space="preserve"> en activos de baja liquidez. Es una estrategia de alto riesgo (debido a la volatilidad de las </w:t>
      </w:r>
      <w:r>
        <w:rPr>
          <w:i/>
          <w:iCs/>
        </w:rPr>
        <w:t xml:space="preserve">penny stocks</w:t>
      </w:r>
      <w:r>
        <w:t xml:space="preserve">) pero con una base técnica sólida en cuanto a la psicología de masas y la mecánica de mercado.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0337f424a9f26817578670eabc34f3e730edb72.jp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2026-01-21T16:33:53.032Z</dcterms:created>
  <dcterms:modified xsi:type="dcterms:W3CDTF">2026-01-21T16:33:53.033Z</dcterms:modified>
</cp:coreProperties>
</file>

<file path=docProps/custom.xml><?xml version="1.0" encoding="utf-8"?>
<Properties xmlns="http://schemas.openxmlformats.org/officeDocument/2006/custom-properties" xmlns:vt="http://schemas.openxmlformats.org/officeDocument/2006/docPropsVTypes"/>
</file>