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AAEA Pilotage 360</w:t>
      </w:r>
    </w:p>
    <w:p>
      <w:pPr>
        <w:jc w:val="center"/>
      </w:pPr>
      <w:r>
        <w:rPr>
          <w:b/>
          <w:color w:val="2F5597"/>
          <w:sz w:val="32"/>
        </w:rPr>
        <w:t>Cahier des charges complet pour agent IA fullstack</w:t>
      </w:r>
    </w:p>
    <w:p/>
    <w:p>
      <w:pPr>
        <w:jc w:val="center"/>
      </w:pPr>
      <w:r>
        <w:rPr>
          <w:b/>
        </w:rPr>
        <w:t>Version mise à jour — 15 modules officiels — Stack cible : Next.js 16 API</w:t>
      </w:r>
    </w:p>
    <w:p>
      <w:pPr>
        <w:jc w:val="center"/>
      </w:pPr>
      <w:r>
        <w:t>Document destiné à être uploadé à l’agent fullstack pour produire l’application de A à Z, module par module, avec CRUD complets, API fonctionnelles, tests, validation et recette anti-bugs.</w:t>
      </w:r>
    </w:p>
    <w:p>
      <w:r>
        <w:br w:type="page"/>
      </w:r>
    </w:p>
    <w:p>
      <w:pPr>
        <w:pStyle w:val="Heading1"/>
      </w:pPr>
      <w:r>
        <w:t>1. Nom recommandé de l’application</w:t>
      </w:r>
    </w:p>
    <w:p>
      <w:r>
        <w:t>Nom recommandé : AAEA Pilotage 360.</w:t>
      </w:r>
    </w:p>
    <w:p>
      <w:r>
        <w:t>Sous-titre : Plateforme intégrée de pilotage stratégique, PTA, MEAL, ACBF, performance et reporting institutionnel.</w:t>
      </w:r>
    </w:p>
    <w:p>
      <w:pPr>
        <w:pStyle w:val="Heading1"/>
      </w:pPr>
      <w:r>
        <w:t>2. Finalité de l’application</w:t>
      </w:r>
    </w:p>
    <w:p>
      <w:r>
        <w:t>L’application doit transformer le fichier maître PTA/ACBF/MEAL/Gantt/RACI/tableau de bord en une plateforme web institutionnelle centralisée. Elle doit permettre de piloter les PTA individuels, le PTA consolidé, les axes stratégiques, les livrables ACBF, les responsabilités RACI, le Gantt, les preuves, les rapports, les validations, les alertes et la performance institutionnelle.</w:t>
      </w:r>
    </w:p>
    <w:p>
      <w:pPr>
        <w:pStyle w:val="ListBullet"/>
      </w:pPr>
      <w:r>
        <w:t>Gérer les PTA individuels des 28 membres de l’équipe.</w:t>
      </w:r>
    </w:p>
    <w:p>
      <w:pPr>
        <w:pStyle w:val="ListBullet"/>
      </w:pPr>
      <w:r>
        <w:t>Consolider automatiquement les activités dans un PTA institutionnel unique.</w:t>
      </w:r>
    </w:p>
    <w:p>
      <w:pPr>
        <w:pStyle w:val="ListBullet"/>
      </w:pPr>
      <w:r>
        <w:t>Suivre les cinq axes stratégiques validés de l’AAEA.</w:t>
      </w:r>
    </w:p>
    <w:p>
      <w:pPr>
        <w:pStyle w:val="ListBullet"/>
      </w:pPr>
      <w:r>
        <w:t>Relier chaque activité aux domaines et livrables ACBF.</w:t>
      </w:r>
    </w:p>
    <w:p>
      <w:pPr>
        <w:pStyle w:val="ListBullet"/>
      </w:pPr>
      <w:r>
        <w:t>Centraliser les preuves et sources de vérification.</w:t>
      </w:r>
    </w:p>
    <w:p>
      <w:pPr>
        <w:pStyle w:val="ListBullet"/>
      </w:pPr>
      <w:r>
        <w:t>Produire des tableaux de bord et rapports automatiques.</w:t>
      </w:r>
    </w:p>
    <w:p>
      <w:pPr>
        <w:pStyle w:val="ListBullet"/>
      </w:pPr>
      <w:r>
        <w:t>Renforcer la gouvernance, la redevabilité, la performance et la traçabilité.</w:t>
      </w:r>
    </w:p>
    <w:p>
      <w:pPr>
        <w:pStyle w:val="Heading1"/>
      </w:pPr>
      <w:r>
        <w:t>3. Problème que l’application doit résoudre</w:t>
      </w:r>
    </w:p>
    <w:p>
      <w:r>
        <w:t>Le suivi Excel est riche mais fragile : consolidation manuelle, risques d’erreurs, absence de workflow, preuves dispersées, tableaux de bord statiques, validation difficile, retards mal visibles et faible traçabilité. L’application doit devenir la source unique de vérité pour le pilotage institutionnel.</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7"/>
              </w:rPr>
              <w:t>Problème actuel</w:t>
            </w:r>
          </w:p>
        </w:tc>
        <w:tc>
          <w:tcPr>
            <w:tcW w:type="dxa" w:w="5328"/>
            <w:vAlign w:val="top"/>
            <w:shd w:fill="1F4E79"/>
          </w:tcPr>
          <w:p>
            <w:r/>
            <w:r>
              <w:rPr>
                <w:b/>
                <w:color w:val="FFFFFF"/>
                <w:sz w:val="17"/>
              </w:rPr>
              <w:t>Solution attendue</w:t>
            </w:r>
          </w:p>
        </w:tc>
      </w:tr>
      <w:tr>
        <w:tc>
          <w:tcPr>
            <w:tcW w:type="dxa" w:w="5328"/>
            <w:vAlign w:val="top"/>
          </w:tcPr>
          <w:p>
            <w:r/>
            <w:r>
              <w:rPr>
                <w:b w:val="0"/>
                <w:sz w:val="17"/>
              </w:rPr>
              <w:t>Données dispersées dans plusieurs feuilles</w:t>
            </w:r>
          </w:p>
        </w:tc>
        <w:tc>
          <w:tcPr>
            <w:tcW w:type="dxa" w:w="5328"/>
            <w:vAlign w:val="top"/>
          </w:tcPr>
          <w:p>
            <w:r/>
            <w:r>
              <w:rPr>
                <w:b w:val="0"/>
                <w:sz w:val="17"/>
              </w:rPr>
              <w:t>Base applicative centralisée</w:t>
            </w:r>
          </w:p>
        </w:tc>
      </w:tr>
      <w:tr>
        <w:tc>
          <w:tcPr>
            <w:tcW w:type="dxa" w:w="5328"/>
            <w:vAlign w:val="top"/>
          </w:tcPr>
          <w:p>
            <w:r/>
            <w:r>
              <w:rPr>
                <w:b w:val="0"/>
                <w:sz w:val="17"/>
              </w:rPr>
              <w:t>Consolidation manuelle</w:t>
            </w:r>
          </w:p>
        </w:tc>
        <w:tc>
          <w:tcPr>
            <w:tcW w:type="dxa" w:w="5328"/>
            <w:vAlign w:val="top"/>
          </w:tcPr>
          <w:p>
            <w:r/>
            <w:r>
              <w:rPr>
                <w:b w:val="0"/>
                <w:sz w:val="17"/>
              </w:rPr>
              <w:t>PTA consolidé généré automatiquement</w:t>
            </w:r>
          </w:p>
        </w:tc>
      </w:tr>
      <w:tr>
        <w:tc>
          <w:tcPr>
            <w:tcW w:type="dxa" w:w="5328"/>
            <w:vAlign w:val="top"/>
          </w:tcPr>
          <w:p>
            <w:r/>
            <w:r>
              <w:rPr>
                <w:b w:val="0"/>
                <w:sz w:val="17"/>
              </w:rPr>
              <w:t>Validation non tracée</w:t>
            </w:r>
          </w:p>
        </w:tc>
        <w:tc>
          <w:tcPr>
            <w:tcW w:type="dxa" w:w="5328"/>
            <w:vAlign w:val="top"/>
          </w:tcPr>
          <w:p>
            <w:r/>
            <w:r>
              <w:rPr>
                <w:b w:val="0"/>
                <w:sz w:val="17"/>
              </w:rPr>
              <w:t>Workflow de validation et journal d’audit</w:t>
            </w:r>
          </w:p>
        </w:tc>
      </w:tr>
      <w:tr>
        <w:tc>
          <w:tcPr>
            <w:tcW w:type="dxa" w:w="5328"/>
            <w:vAlign w:val="top"/>
          </w:tcPr>
          <w:p>
            <w:r/>
            <w:r>
              <w:rPr>
                <w:b w:val="0"/>
                <w:sz w:val="17"/>
              </w:rPr>
              <w:t>Preuves dispersées</w:t>
            </w:r>
          </w:p>
        </w:tc>
        <w:tc>
          <w:tcPr>
            <w:tcW w:type="dxa" w:w="5328"/>
            <w:vAlign w:val="top"/>
          </w:tcPr>
          <w:p>
            <w:r/>
            <w:r>
              <w:rPr>
                <w:b w:val="0"/>
                <w:sz w:val="17"/>
              </w:rPr>
              <w:t>Bibliothèque documentaire liée aux activités et livrables</w:t>
            </w:r>
          </w:p>
        </w:tc>
      </w:tr>
      <w:tr>
        <w:tc>
          <w:tcPr>
            <w:tcW w:type="dxa" w:w="5328"/>
            <w:vAlign w:val="top"/>
          </w:tcPr>
          <w:p>
            <w:r/>
            <w:r>
              <w:rPr>
                <w:b w:val="0"/>
                <w:sz w:val="17"/>
              </w:rPr>
              <w:t>Retards difficiles à suivre</w:t>
            </w:r>
          </w:p>
        </w:tc>
        <w:tc>
          <w:tcPr>
            <w:tcW w:type="dxa" w:w="5328"/>
            <w:vAlign w:val="top"/>
          </w:tcPr>
          <w:p>
            <w:r/>
            <w:r>
              <w:rPr>
                <w:b w:val="0"/>
                <w:sz w:val="17"/>
              </w:rPr>
              <w:t>Alertes, Gantt et tableau de bord dynamique</w:t>
            </w:r>
          </w:p>
        </w:tc>
      </w:tr>
      <w:tr>
        <w:tc>
          <w:tcPr>
            <w:tcW w:type="dxa" w:w="5328"/>
            <w:vAlign w:val="top"/>
          </w:tcPr>
          <w:p>
            <w:r/>
            <w:r>
              <w:rPr>
                <w:b w:val="0"/>
                <w:sz w:val="17"/>
              </w:rPr>
              <w:t>CRUD incomplets ou API cassées</w:t>
            </w:r>
          </w:p>
        </w:tc>
        <w:tc>
          <w:tcPr>
            <w:tcW w:type="dxa" w:w="5328"/>
            <w:vAlign w:val="top"/>
          </w:tcPr>
          <w:p>
            <w:r/>
            <w:r>
              <w:rPr>
                <w:b w:val="0"/>
                <w:sz w:val="17"/>
              </w:rPr>
              <w:t>Définition stricte de terminé, tests et recette module par module</w:t>
            </w:r>
          </w:p>
        </w:tc>
      </w:tr>
    </w:tbl>
    <w:p/>
    <w:p>
      <w:pPr>
        <w:pStyle w:val="Heading1"/>
      </w:pPr>
      <w:r>
        <w:t>4. Modules fonctionnels officiels à développer</w:t>
      </w:r>
    </w:p>
    <w:p>
      <w:r>
        <w:t>La liste officielle contient 15 modules. Tous les modules qui manipulent des données doivent être CRUD : créer, lire, modifier, archiver/supprimer logiquement. Aucune suppression définitive ne doit être disponible hors super administration.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7"/>
              </w:rPr>
              <w:t>N°</w:t>
            </w:r>
          </w:p>
        </w:tc>
        <w:tc>
          <w:tcPr>
            <w:tcW w:type="dxa" w:w="2664"/>
            <w:vAlign w:val="top"/>
            <w:shd w:fill="1F4E79"/>
          </w:tcPr>
          <w:p>
            <w:r/>
            <w:r>
              <w:rPr>
                <w:b/>
                <w:color w:val="FFFFFF"/>
                <w:sz w:val="17"/>
              </w:rPr>
              <w:t>Module</w:t>
            </w:r>
          </w:p>
        </w:tc>
        <w:tc>
          <w:tcPr>
            <w:tcW w:type="dxa" w:w="2664"/>
            <w:vAlign w:val="top"/>
            <w:shd w:fill="1F4E79"/>
          </w:tcPr>
          <w:p>
            <w:r/>
            <w:r>
              <w:rPr>
                <w:b/>
                <w:color w:val="FFFFFF"/>
                <w:sz w:val="17"/>
              </w:rPr>
              <w:t>Objectif</w:t>
            </w:r>
          </w:p>
        </w:tc>
        <w:tc>
          <w:tcPr>
            <w:tcW w:type="dxa" w:w="2664"/>
            <w:vAlign w:val="top"/>
            <w:shd w:fill="1F4E79"/>
          </w:tcPr>
          <w:p>
            <w:r/>
            <w:r>
              <w:rPr>
                <w:b/>
                <w:color w:val="FFFFFF"/>
                <w:sz w:val="17"/>
              </w:rPr>
              <w:t>Objets CRUD principaux</w:t>
            </w:r>
          </w:p>
        </w:tc>
      </w:tr>
      <w:tr>
        <w:tc>
          <w:tcPr>
            <w:tcW w:type="dxa" w:w="2664"/>
            <w:vAlign w:val="top"/>
          </w:tcPr>
          <w:p>
            <w:r/>
            <w:r>
              <w:rPr>
                <w:b w:val="0"/>
                <w:sz w:val="17"/>
              </w:rPr>
              <w:t>1</w:t>
            </w:r>
          </w:p>
        </w:tc>
        <w:tc>
          <w:tcPr>
            <w:tcW w:type="dxa" w:w="2664"/>
            <w:vAlign w:val="top"/>
          </w:tcPr>
          <w:p>
            <w:r/>
            <w:r>
              <w:rPr>
                <w:b w:val="0"/>
                <w:sz w:val="17"/>
              </w:rPr>
              <w:t>Authentification et gestion des rôles</w:t>
            </w:r>
          </w:p>
        </w:tc>
        <w:tc>
          <w:tcPr>
            <w:tcW w:type="dxa" w:w="2664"/>
            <w:vAlign w:val="top"/>
          </w:tcPr>
          <w:p>
            <w:r/>
            <w:r>
              <w:rPr>
                <w:b w:val="0"/>
                <w:sz w:val="17"/>
              </w:rPr>
              <w:t>Sécuriser l’accès à l’application, gérer les comptes, les rôles, les permissions et les sessions.</w:t>
            </w:r>
          </w:p>
        </w:tc>
        <w:tc>
          <w:tcPr>
            <w:tcW w:type="dxa" w:w="2664"/>
            <w:vAlign w:val="top"/>
          </w:tcPr>
          <w:p>
            <w:r/>
            <w:r>
              <w:rPr>
                <w:b w:val="0"/>
                <w:sz w:val="17"/>
              </w:rPr>
              <w:t>Utilisateurs; rôles; permissions; sessions; profils; statuts actif/archivé</w:t>
            </w:r>
          </w:p>
        </w:tc>
      </w:tr>
      <w:tr>
        <w:tc>
          <w:tcPr>
            <w:tcW w:type="dxa" w:w="2664"/>
            <w:vAlign w:val="top"/>
          </w:tcPr>
          <w:p>
            <w:r/>
            <w:r>
              <w:rPr>
                <w:b w:val="0"/>
                <w:sz w:val="17"/>
              </w:rPr>
              <w:t>2</w:t>
            </w:r>
          </w:p>
        </w:tc>
        <w:tc>
          <w:tcPr>
            <w:tcW w:type="dxa" w:w="2664"/>
            <w:vAlign w:val="top"/>
          </w:tcPr>
          <w:p>
            <w:r/>
            <w:r>
              <w:rPr>
                <w:b w:val="0"/>
                <w:sz w:val="17"/>
              </w:rPr>
              <w:t>Administration organisationnelle AAEA</w:t>
            </w:r>
          </w:p>
        </w:tc>
        <w:tc>
          <w:tcPr>
            <w:tcW w:type="dxa" w:w="2664"/>
            <w:vAlign w:val="top"/>
          </w:tcPr>
          <w:p>
            <w:r/>
            <w:r>
              <w:rPr>
                <w:b w:val="0"/>
                <w:sz w:val="17"/>
              </w:rPr>
              <w:t>Gérer la structure institutionnelle de base : directions, unités, postes, membres de l’équipe et rattachements hiérarchiques.</w:t>
            </w:r>
          </w:p>
        </w:tc>
        <w:tc>
          <w:tcPr>
            <w:tcW w:type="dxa" w:w="2664"/>
            <w:vAlign w:val="top"/>
          </w:tcPr>
          <w:p>
            <w:r/>
            <w:r>
              <w:rPr>
                <w:b w:val="0"/>
                <w:sz w:val="17"/>
              </w:rPr>
              <w:t>Directions; unités; postes; membres; superviseurs; validateurs; codes PTA</w:t>
            </w:r>
          </w:p>
        </w:tc>
      </w:tr>
      <w:tr>
        <w:tc>
          <w:tcPr>
            <w:tcW w:type="dxa" w:w="2664"/>
            <w:vAlign w:val="top"/>
          </w:tcPr>
          <w:p>
            <w:r/>
            <w:r>
              <w:rPr>
                <w:b w:val="0"/>
                <w:sz w:val="17"/>
              </w:rPr>
              <w:t>3</w:t>
            </w:r>
          </w:p>
        </w:tc>
        <w:tc>
          <w:tcPr>
            <w:tcW w:type="dxa" w:w="2664"/>
            <w:vAlign w:val="top"/>
          </w:tcPr>
          <w:p>
            <w:r/>
            <w:r>
              <w:rPr>
                <w:b w:val="0"/>
                <w:sz w:val="17"/>
              </w:rPr>
              <w:t>Référentiel stratégique</w:t>
            </w:r>
          </w:p>
        </w:tc>
        <w:tc>
          <w:tcPr>
            <w:tcW w:type="dxa" w:w="2664"/>
            <w:vAlign w:val="top"/>
          </w:tcPr>
          <w:p>
            <w:r/>
            <w:r>
              <w:rPr>
                <w:b w:val="0"/>
                <w:sz w:val="17"/>
              </w:rPr>
              <w:t>Gérer les cinq axes stratégiques validés, leurs objectifs, résultats attendus, indicateurs et unités concernées.</w:t>
            </w:r>
          </w:p>
        </w:tc>
        <w:tc>
          <w:tcPr>
            <w:tcW w:type="dxa" w:w="2664"/>
            <w:vAlign w:val="top"/>
          </w:tcPr>
          <w:p>
            <w:r/>
            <w:r>
              <w:rPr>
                <w:b w:val="0"/>
                <w:sz w:val="17"/>
              </w:rPr>
              <w:t>Axes stratégiques; objectifs; résultats; indicateurs; unités concernées</w:t>
            </w:r>
          </w:p>
        </w:tc>
      </w:tr>
      <w:tr>
        <w:tc>
          <w:tcPr>
            <w:tcW w:type="dxa" w:w="2664"/>
            <w:vAlign w:val="top"/>
          </w:tcPr>
          <w:p>
            <w:r/>
            <w:r>
              <w:rPr>
                <w:b w:val="0"/>
                <w:sz w:val="17"/>
              </w:rPr>
              <w:t>4</w:t>
            </w:r>
          </w:p>
        </w:tc>
        <w:tc>
          <w:tcPr>
            <w:tcW w:type="dxa" w:w="2664"/>
            <w:vAlign w:val="top"/>
          </w:tcPr>
          <w:p>
            <w:r/>
            <w:r>
              <w:rPr>
                <w:b w:val="0"/>
                <w:sz w:val="17"/>
              </w:rPr>
              <w:t>Référentiel ACBF</w:t>
            </w:r>
          </w:p>
        </w:tc>
        <w:tc>
          <w:tcPr>
            <w:tcW w:type="dxa" w:w="2664"/>
            <w:vAlign w:val="top"/>
          </w:tcPr>
          <w:p>
            <w:r/>
            <w:r>
              <w:rPr>
                <w:b w:val="0"/>
                <w:sz w:val="17"/>
              </w:rPr>
              <w:t>Gérer les 14 domaines ACBF, les livrables attendus, les preuves attendues, les priorités et les statuts.</w:t>
            </w:r>
          </w:p>
        </w:tc>
        <w:tc>
          <w:tcPr>
            <w:tcW w:type="dxa" w:w="2664"/>
            <w:vAlign w:val="top"/>
          </w:tcPr>
          <w:p>
            <w:r/>
            <w:r>
              <w:rPr>
                <w:b w:val="0"/>
                <w:sz w:val="17"/>
              </w:rPr>
              <w:t>Domaines ACBF; livrables ACBF; preuves attendues; responsabilités; statuts de disponibilité</w:t>
            </w:r>
          </w:p>
        </w:tc>
      </w:tr>
      <w:tr>
        <w:tc>
          <w:tcPr>
            <w:tcW w:type="dxa" w:w="2664"/>
            <w:vAlign w:val="top"/>
          </w:tcPr>
          <w:p>
            <w:r/>
            <w:r>
              <w:rPr>
                <w:b w:val="0"/>
                <w:sz w:val="17"/>
              </w:rPr>
              <w:t>5</w:t>
            </w:r>
          </w:p>
        </w:tc>
        <w:tc>
          <w:tcPr>
            <w:tcW w:type="dxa" w:w="2664"/>
            <w:vAlign w:val="top"/>
          </w:tcPr>
          <w:p>
            <w:r/>
            <w:r>
              <w:rPr>
                <w:b w:val="0"/>
                <w:sz w:val="17"/>
              </w:rPr>
              <w:t>Gestion des PTA individuels</w:t>
            </w:r>
          </w:p>
        </w:tc>
        <w:tc>
          <w:tcPr>
            <w:tcW w:type="dxa" w:w="2664"/>
            <w:vAlign w:val="top"/>
          </w:tcPr>
          <w:p>
            <w:r/>
            <w:r>
              <w:rPr>
                <w:b w:val="0"/>
                <w:sz w:val="17"/>
              </w:rPr>
              <w:t>Permettre à chaque membre de créer, suivre, mettre à jour et soumettre ses activités PTA.</w:t>
            </w:r>
          </w:p>
        </w:tc>
        <w:tc>
          <w:tcPr>
            <w:tcW w:type="dxa" w:w="2664"/>
            <w:vAlign w:val="top"/>
          </w:tcPr>
          <w:p>
            <w:r/>
            <w:r>
              <w:rPr>
                <w:b w:val="0"/>
                <w:sz w:val="17"/>
              </w:rPr>
              <w:t>Activités; objectifs; tâches; livrables; dates; indicateurs; risques; contributeurs; preuves</w:t>
            </w:r>
          </w:p>
        </w:tc>
      </w:tr>
      <w:tr>
        <w:tc>
          <w:tcPr>
            <w:tcW w:type="dxa" w:w="2664"/>
            <w:vAlign w:val="top"/>
          </w:tcPr>
          <w:p>
            <w:r/>
            <w:r>
              <w:rPr>
                <w:b w:val="0"/>
                <w:sz w:val="17"/>
              </w:rPr>
              <w:t>6</w:t>
            </w:r>
          </w:p>
        </w:tc>
        <w:tc>
          <w:tcPr>
            <w:tcW w:type="dxa" w:w="2664"/>
            <w:vAlign w:val="top"/>
          </w:tcPr>
          <w:p>
            <w:r/>
            <w:r>
              <w:rPr>
                <w:b w:val="0"/>
                <w:sz w:val="17"/>
              </w:rPr>
              <w:t>PTA consolidé AAEA</w:t>
            </w:r>
          </w:p>
        </w:tc>
        <w:tc>
          <w:tcPr>
            <w:tcW w:type="dxa" w:w="2664"/>
            <w:vAlign w:val="top"/>
          </w:tcPr>
          <w:p>
            <w:r/>
            <w:r>
              <w:rPr>
                <w:b w:val="0"/>
                <w:sz w:val="17"/>
              </w:rPr>
              <w:t>Agréger automatiquement toutes les activités individuelles dans une vue institutionnelle consolidée.</w:t>
            </w:r>
          </w:p>
        </w:tc>
        <w:tc>
          <w:tcPr>
            <w:tcW w:type="dxa" w:w="2664"/>
            <w:vAlign w:val="top"/>
          </w:tcPr>
          <w:p>
            <w:r/>
            <w:r>
              <w:rPr>
                <w:b w:val="0"/>
                <w:sz w:val="17"/>
              </w:rPr>
              <w:t>Vue consolidée; filtres; regroupements; corrections autorisées; exports</w:t>
            </w:r>
          </w:p>
        </w:tc>
      </w:tr>
      <w:tr>
        <w:tc>
          <w:tcPr>
            <w:tcW w:type="dxa" w:w="2664"/>
            <w:vAlign w:val="top"/>
          </w:tcPr>
          <w:p>
            <w:r/>
            <w:r>
              <w:rPr>
                <w:b w:val="0"/>
                <w:sz w:val="17"/>
              </w:rPr>
              <w:t>7</w:t>
            </w:r>
          </w:p>
        </w:tc>
        <w:tc>
          <w:tcPr>
            <w:tcW w:type="dxa" w:w="2664"/>
            <w:vAlign w:val="top"/>
          </w:tcPr>
          <w:p>
            <w:r/>
            <w:r>
              <w:rPr>
                <w:b w:val="0"/>
                <w:sz w:val="17"/>
              </w:rPr>
              <w:t>Matrice RACI</w:t>
            </w:r>
          </w:p>
        </w:tc>
        <w:tc>
          <w:tcPr>
            <w:tcW w:type="dxa" w:w="2664"/>
            <w:vAlign w:val="top"/>
          </w:tcPr>
          <w:p>
            <w:r/>
            <w:r>
              <w:rPr>
                <w:b w:val="0"/>
                <w:sz w:val="17"/>
              </w:rPr>
              <w:t>Clarifier les responsabilités par activité ou livrable : Responsable, Autorité, Contributeurs et Informés.</w:t>
            </w:r>
          </w:p>
        </w:tc>
        <w:tc>
          <w:tcPr>
            <w:tcW w:type="dxa" w:w="2664"/>
            <w:vAlign w:val="top"/>
          </w:tcPr>
          <w:p>
            <w:r/>
            <w:r>
              <w:rPr>
                <w:b w:val="0"/>
                <w:sz w:val="17"/>
              </w:rPr>
              <w:t>RACI; responsables; validateurs; contributeurs; informés; liens activités/livrables</w:t>
            </w:r>
          </w:p>
        </w:tc>
      </w:tr>
      <w:tr>
        <w:tc>
          <w:tcPr>
            <w:tcW w:type="dxa" w:w="2664"/>
            <w:vAlign w:val="top"/>
          </w:tcPr>
          <w:p>
            <w:r/>
            <w:r>
              <w:rPr>
                <w:b w:val="0"/>
                <w:sz w:val="17"/>
              </w:rPr>
              <w:t>8</w:t>
            </w:r>
          </w:p>
        </w:tc>
        <w:tc>
          <w:tcPr>
            <w:tcW w:type="dxa" w:w="2664"/>
            <w:vAlign w:val="top"/>
          </w:tcPr>
          <w:p>
            <w:r/>
            <w:r>
              <w:rPr>
                <w:b w:val="0"/>
                <w:sz w:val="17"/>
              </w:rPr>
              <w:t>Gantt dynamique</w:t>
            </w:r>
          </w:p>
        </w:tc>
        <w:tc>
          <w:tcPr>
            <w:tcW w:type="dxa" w:w="2664"/>
            <w:vAlign w:val="top"/>
          </w:tcPr>
          <w:p>
            <w:r/>
            <w:r>
              <w:rPr>
                <w:b w:val="0"/>
                <w:sz w:val="17"/>
              </w:rPr>
              <w:t>Générer automatiquement le calendrier d’exécution d’avril à décembre 2026 à partir des dates des activités.</w:t>
            </w:r>
          </w:p>
        </w:tc>
        <w:tc>
          <w:tcPr>
            <w:tcW w:type="dxa" w:w="2664"/>
            <w:vAlign w:val="top"/>
          </w:tcPr>
          <w:p>
            <w:r/>
            <w:r>
              <w:rPr>
                <w:b w:val="0"/>
                <w:sz w:val="17"/>
              </w:rPr>
              <w:t>Planning; jalons; vues par axe, direction, responsable, priorité et statut</w:t>
            </w:r>
          </w:p>
        </w:tc>
      </w:tr>
      <w:tr>
        <w:tc>
          <w:tcPr>
            <w:tcW w:type="dxa" w:w="2664"/>
            <w:vAlign w:val="top"/>
          </w:tcPr>
          <w:p>
            <w:r/>
            <w:r>
              <w:rPr>
                <w:b w:val="0"/>
                <w:sz w:val="17"/>
              </w:rPr>
              <w:t>9</w:t>
            </w:r>
          </w:p>
        </w:tc>
        <w:tc>
          <w:tcPr>
            <w:tcW w:type="dxa" w:w="2664"/>
            <w:vAlign w:val="top"/>
          </w:tcPr>
          <w:p>
            <w:r/>
            <w:r>
              <w:rPr>
                <w:b w:val="0"/>
                <w:sz w:val="17"/>
              </w:rPr>
              <w:t>Tableau de bord</w:t>
            </w:r>
          </w:p>
        </w:tc>
        <w:tc>
          <w:tcPr>
            <w:tcW w:type="dxa" w:w="2664"/>
            <w:vAlign w:val="top"/>
          </w:tcPr>
          <w:p>
            <w:r/>
            <w:r>
              <w:rPr>
                <w:b w:val="0"/>
                <w:sz w:val="17"/>
              </w:rPr>
              <w:t>Afficher les KPI, taux d’avancement, retards, risques, preuves, activités par axe et par direction.</w:t>
            </w:r>
          </w:p>
        </w:tc>
        <w:tc>
          <w:tcPr>
            <w:tcW w:type="dxa" w:w="2664"/>
            <w:vAlign w:val="top"/>
          </w:tcPr>
          <w:p>
            <w:r/>
            <w:r>
              <w:rPr>
                <w:b w:val="0"/>
                <w:sz w:val="17"/>
              </w:rPr>
              <w:t>Indicateurs; graphiques; vues par rôle; synthèses; seuils d’alerte</w:t>
            </w:r>
          </w:p>
        </w:tc>
      </w:tr>
      <w:tr>
        <w:tc>
          <w:tcPr>
            <w:tcW w:type="dxa" w:w="2664"/>
            <w:vAlign w:val="top"/>
          </w:tcPr>
          <w:p>
            <w:r/>
            <w:r>
              <w:rPr>
                <w:b w:val="0"/>
                <w:sz w:val="17"/>
              </w:rPr>
              <w:t>10</w:t>
            </w:r>
          </w:p>
        </w:tc>
        <w:tc>
          <w:tcPr>
            <w:tcW w:type="dxa" w:w="2664"/>
            <w:vAlign w:val="top"/>
          </w:tcPr>
          <w:p>
            <w:r/>
            <w:r>
              <w:rPr>
                <w:b w:val="0"/>
                <w:sz w:val="17"/>
              </w:rPr>
              <w:t>Gestion documentaire et preuves</w:t>
            </w:r>
          </w:p>
        </w:tc>
        <w:tc>
          <w:tcPr>
            <w:tcW w:type="dxa" w:w="2664"/>
            <w:vAlign w:val="top"/>
          </w:tcPr>
          <w:p>
            <w:r/>
            <w:r>
              <w:rPr>
                <w:b w:val="0"/>
                <w:sz w:val="17"/>
              </w:rPr>
              <w:t>Centraliser les rapports, PV, photos, fichiers, liens et sources de vérification.</w:t>
            </w:r>
          </w:p>
        </w:tc>
        <w:tc>
          <w:tcPr>
            <w:tcW w:type="dxa" w:w="2664"/>
            <w:vAlign w:val="top"/>
          </w:tcPr>
          <w:p>
            <w:r/>
            <w:r>
              <w:rPr>
                <w:b w:val="0"/>
                <w:sz w:val="17"/>
              </w:rPr>
              <w:t>Fichiers; liens; versions; validations; preuves liées aux activités et livrables</w:t>
            </w:r>
          </w:p>
        </w:tc>
      </w:tr>
      <w:tr>
        <w:tc>
          <w:tcPr>
            <w:tcW w:type="dxa" w:w="2664"/>
            <w:vAlign w:val="top"/>
          </w:tcPr>
          <w:p>
            <w:r/>
            <w:r>
              <w:rPr>
                <w:b w:val="0"/>
                <w:sz w:val="17"/>
              </w:rPr>
              <w:t>11</w:t>
            </w:r>
          </w:p>
        </w:tc>
        <w:tc>
          <w:tcPr>
            <w:tcW w:type="dxa" w:w="2664"/>
            <w:vAlign w:val="top"/>
          </w:tcPr>
          <w:p>
            <w:r/>
            <w:r>
              <w:rPr>
                <w:b w:val="0"/>
                <w:sz w:val="17"/>
              </w:rPr>
              <w:t>Reporting automatique</w:t>
            </w:r>
          </w:p>
        </w:tc>
        <w:tc>
          <w:tcPr>
            <w:tcW w:type="dxa" w:w="2664"/>
            <w:vAlign w:val="top"/>
          </w:tcPr>
          <w:p>
            <w:r/>
            <w:r>
              <w:rPr>
                <w:b w:val="0"/>
                <w:sz w:val="17"/>
              </w:rPr>
              <w:t>Générer les rapports mensuels, trimestriels, ACBF, par axe, par direction et annuels.</w:t>
            </w:r>
          </w:p>
        </w:tc>
        <w:tc>
          <w:tcPr>
            <w:tcW w:type="dxa" w:w="2664"/>
            <w:vAlign w:val="top"/>
          </w:tcPr>
          <w:p>
            <w:r/>
            <w:r>
              <w:rPr>
                <w:b w:val="0"/>
                <w:sz w:val="17"/>
              </w:rPr>
              <w:t>Modèles de rapports; rapports générés; validations; exports</w:t>
            </w:r>
          </w:p>
        </w:tc>
      </w:tr>
      <w:tr>
        <w:tc>
          <w:tcPr>
            <w:tcW w:type="dxa" w:w="2664"/>
            <w:vAlign w:val="top"/>
          </w:tcPr>
          <w:p>
            <w:r/>
            <w:r>
              <w:rPr>
                <w:b w:val="0"/>
                <w:sz w:val="17"/>
              </w:rPr>
              <w:t>12</w:t>
            </w:r>
          </w:p>
        </w:tc>
        <w:tc>
          <w:tcPr>
            <w:tcW w:type="dxa" w:w="2664"/>
            <w:vAlign w:val="top"/>
          </w:tcPr>
          <w:p>
            <w:r/>
            <w:r>
              <w:rPr>
                <w:b w:val="0"/>
                <w:sz w:val="17"/>
              </w:rPr>
              <w:t>Notifications et alertes</w:t>
            </w:r>
          </w:p>
        </w:tc>
        <w:tc>
          <w:tcPr>
            <w:tcW w:type="dxa" w:w="2664"/>
            <w:vAlign w:val="top"/>
          </w:tcPr>
          <w:p>
            <w:r/>
            <w:r>
              <w:rPr>
                <w:b w:val="0"/>
                <w:sz w:val="17"/>
              </w:rPr>
              <w:t>Alerter les utilisateurs sur les retards, validations, preuves manquantes, échéances et corrections demandées.</w:t>
            </w:r>
          </w:p>
        </w:tc>
        <w:tc>
          <w:tcPr>
            <w:tcW w:type="dxa" w:w="2664"/>
            <w:vAlign w:val="top"/>
          </w:tcPr>
          <w:p>
            <w:r/>
            <w:r>
              <w:rPr>
                <w:b w:val="0"/>
                <w:sz w:val="17"/>
              </w:rPr>
              <w:t>Notifications; alertes; rappels; destinataires; statut lu/non lu</w:t>
            </w:r>
          </w:p>
        </w:tc>
      </w:tr>
      <w:tr>
        <w:tc>
          <w:tcPr>
            <w:tcW w:type="dxa" w:w="2664"/>
            <w:vAlign w:val="top"/>
          </w:tcPr>
          <w:p>
            <w:r/>
            <w:r>
              <w:rPr>
                <w:b w:val="0"/>
                <w:sz w:val="17"/>
              </w:rPr>
              <w:t>13</w:t>
            </w:r>
          </w:p>
        </w:tc>
        <w:tc>
          <w:tcPr>
            <w:tcW w:type="dxa" w:w="2664"/>
            <w:vAlign w:val="top"/>
          </w:tcPr>
          <w:p>
            <w:r/>
            <w:r>
              <w:rPr>
                <w:b w:val="0"/>
                <w:sz w:val="17"/>
              </w:rPr>
              <w:t>Journal d’audit</w:t>
            </w:r>
          </w:p>
        </w:tc>
        <w:tc>
          <w:tcPr>
            <w:tcW w:type="dxa" w:w="2664"/>
            <w:vAlign w:val="top"/>
          </w:tcPr>
          <w:p>
            <w:r/>
            <w:r>
              <w:rPr>
                <w:b w:val="0"/>
                <w:sz w:val="17"/>
              </w:rPr>
              <w:t>Assurer la traçabilité de toutes les actions sensibles dans l’application.</w:t>
            </w:r>
          </w:p>
        </w:tc>
        <w:tc>
          <w:tcPr>
            <w:tcW w:type="dxa" w:w="2664"/>
            <w:vAlign w:val="top"/>
          </w:tcPr>
          <w:p>
            <w:r/>
            <w:r>
              <w:rPr>
                <w:b w:val="0"/>
                <w:sz w:val="17"/>
              </w:rPr>
              <w:t>Logs; actions; utilisateurs; ancienne valeur; nouvelle valeur; date; entité concernée</w:t>
            </w:r>
          </w:p>
        </w:tc>
      </w:tr>
      <w:tr>
        <w:tc>
          <w:tcPr>
            <w:tcW w:type="dxa" w:w="2664"/>
            <w:vAlign w:val="top"/>
          </w:tcPr>
          <w:p>
            <w:r/>
            <w:r>
              <w:rPr>
                <w:b w:val="0"/>
                <w:sz w:val="17"/>
              </w:rPr>
              <w:t>14</w:t>
            </w:r>
          </w:p>
        </w:tc>
        <w:tc>
          <w:tcPr>
            <w:tcW w:type="dxa" w:w="2664"/>
            <w:vAlign w:val="top"/>
          </w:tcPr>
          <w:p>
            <w:r/>
            <w:r>
              <w:rPr>
                <w:b w:val="0"/>
                <w:sz w:val="17"/>
              </w:rPr>
              <w:t>Import Excel</w:t>
            </w:r>
          </w:p>
        </w:tc>
        <w:tc>
          <w:tcPr>
            <w:tcW w:type="dxa" w:w="2664"/>
            <w:vAlign w:val="top"/>
          </w:tcPr>
          <w:p>
            <w:r/>
            <w:r>
              <w:rPr>
                <w:b w:val="0"/>
                <w:sz w:val="17"/>
              </w:rPr>
              <w:t>Importer le fichier maître PTA/ACBF/MEAL existant et transformer les feuilles Excel en données applicatives.</w:t>
            </w:r>
          </w:p>
        </w:tc>
        <w:tc>
          <w:tcPr>
            <w:tcW w:type="dxa" w:w="2664"/>
            <w:vAlign w:val="top"/>
          </w:tcPr>
          <w:p>
            <w:r/>
            <w:r>
              <w:rPr>
                <w:b w:val="0"/>
                <w:sz w:val="17"/>
              </w:rPr>
              <w:t>Fichiers importés; mapping; erreurs; prévisualisation; rapport d’import</w:t>
            </w:r>
          </w:p>
        </w:tc>
      </w:tr>
      <w:tr>
        <w:tc>
          <w:tcPr>
            <w:tcW w:type="dxa" w:w="2664"/>
            <w:vAlign w:val="top"/>
          </w:tcPr>
          <w:p>
            <w:r/>
            <w:r>
              <w:rPr>
                <w:b w:val="0"/>
                <w:sz w:val="17"/>
              </w:rPr>
              <w:t>15</w:t>
            </w:r>
          </w:p>
        </w:tc>
        <w:tc>
          <w:tcPr>
            <w:tcW w:type="dxa" w:w="2664"/>
            <w:vAlign w:val="top"/>
          </w:tcPr>
          <w:p>
            <w:r/>
            <w:r>
              <w:rPr>
                <w:b w:val="0"/>
                <w:sz w:val="17"/>
              </w:rPr>
              <w:t>Exports PDF, Excel et Word</w:t>
            </w:r>
          </w:p>
        </w:tc>
        <w:tc>
          <w:tcPr>
            <w:tcW w:type="dxa" w:w="2664"/>
            <w:vAlign w:val="top"/>
          </w:tcPr>
          <w:p>
            <w:r/>
            <w:r>
              <w:rPr>
                <w:b w:val="0"/>
                <w:sz w:val="17"/>
              </w:rPr>
              <w:t>Permettre l’export des PTA, tableaux de bord, rapports, Gantt, RACI et preuves.</w:t>
            </w:r>
          </w:p>
        </w:tc>
        <w:tc>
          <w:tcPr>
            <w:tcW w:type="dxa" w:w="2664"/>
            <w:vAlign w:val="top"/>
          </w:tcPr>
          <w:p>
            <w:r/>
            <w:r>
              <w:rPr>
                <w:b w:val="0"/>
                <w:sz w:val="17"/>
              </w:rPr>
              <w:t>Exports; modèles; fichiers générés; historique des exports</w:t>
            </w:r>
          </w:p>
        </w:tc>
      </w:tr>
    </w:tbl>
    <w:p/>
    <w:p>
      <w:pPr>
        <w:pStyle w:val="Heading2"/>
      </w:pPr>
      <w:r>
        <w:t>Ordre réel de développement recommandé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1F4E79"/>
          </w:tcPr>
          <w:p>
            <w:r/>
            <w:r>
              <w:rPr>
                <w:b/>
                <w:color w:val="FFFFFF"/>
                <w:sz w:val="17"/>
              </w:rPr>
              <w:t>Ordre</w:t>
            </w:r>
          </w:p>
        </w:tc>
        <w:tc>
          <w:tcPr>
            <w:tcW w:type="dxa" w:w="3552"/>
            <w:vAlign w:val="top"/>
            <w:shd w:fill="1F4E79"/>
          </w:tcPr>
          <w:p>
            <w:r/>
            <w:r>
              <w:rPr>
                <w:b/>
                <w:color w:val="FFFFFF"/>
                <w:sz w:val="17"/>
              </w:rPr>
              <w:t>Module</w:t>
            </w:r>
          </w:p>
        </w:tc>
        <w:tc>
          <w:tcPr>
            <w:tcW w:type="dxa" w:w="3552"/>
            <w:vAlign w:val="top"/>
            <w:shd w:fill="1F4E79"/>
          </w:tcPr>
          <w:p>
            <w:r/>
            <w:r>
              <w:rPr>
                <w:b/>
                <w:color w:val="FFFFFF"/>
                <w:sz w:val="17"/>
              </w:rPr>
              <w:t>Raison</w:t>
            </w:r>
          </w:p>
        </w:tc>
      </w:tr>
      <w:tr>
        <w:tc>
          <w:tcPr>
            <w:tcW w:type="dxa" w:w="3552"/>
            <w:vAlign w:val="top"/>
          </w:tcPr>
          <w:p>
            <w:r/>
            <w:r>
              <w:rPr>
                <w:b w:val="0"/>
                <w:sz w:val="17"/>
              </w:rPr>
              <w:t>1</w:t>
            </w:r>
          </w:p>
        </w:tc>
        <w:tc>
          <w:tcPr>
            <w:tcW w:type="dxa" w:w="3552"/>
            <w:vAlign w:val="top"/>
          </w:tcPr>
          <w:p>
            <w:r/>
            <w:r>
              <w:rPr>
                <w:b w:val="0"/>
                <w:sz w:val="17"/>
              </w:rPr>
              <w:t>Authentification et gestion des rôles</w:t>
            </w:r>
          </w:p>
        </w:tc>
        <w:tc>
          <w:tcPr>
            <w:tcW w:type="dxa" w:w="3552"/>
            <w:vAlign w:val="top"/>
          </w:tcPr>
          <w:p>
            <w:r/>
            <w:r>
              <w:rPr>
                <w:b w:val="0"/>
                <w:sz w:val="17"/>
              </w:rPr>
              <w:t>Base de sécurité et permissions</w:t>
            </w:r>
          </w:p>
        </w:tc>
      </w:tr>
      <w:tr>
        <w:tc>
          <w:tcPr>
            <w:tcW w:type="dxa" w:w="3552"/>
            <w:vAlign w:val="top"/>
          </w:tcPr>
          <w:p>
            <w:r/>
            <w:r>
              <w:rPr>
                <w:b w:val="0"/>
                <w:sz w:val="17"/>
              </w:rPr>
              <w:t>2</w:t>
            </w:r>
          </w:p>
        </w:tc>
        <w:tc>
          <w:tcPr>
            <w:tcW w:type="dxa" w:w="3552"/>
            <w:vAlign w:val="top"/>
          </w:tcPr>
          <w:p>
            <w:r/>
            <w:r>
              <w:rPr>
                <w:b w:val="0"/>
                <w:sz w:val="17"/>
              </w:rPr>
              <w:t>Administration organisationnelle AAEA</w:t>
            </w:r>
          </w:p>
        </w:tc>
        <w:tc>
          <w:tcPr>
            <w:tcW w:type="dxa" w:w="3552"/>
            <w:vAlign w:val="top"/>
          </w:tcPr>
          <w:p>
            <w:r/>
            <w:r>
              <w:rPr>
                <w:b w:val="0"/>
                <w:sz w:val="17"/>
              </w:rPr>
              <w:t>Nécessaire pour directions, équipe, codes PTA et validateurs</w:t>
            </w:r>
          </w:p>
        </w:tc>
      </w:tr>
      <w:tr>
        <w:tc>
          <w:tcPr>
            <w:tcW w:type="dxa" w:w="3552"/>
            <w:vAlign w:val="top"/>
          </w:tcPr>
          <w:p>
            <w:r/>
            <w:r>
              <w:rPr>
                <w:b w:val="0"/>
                <w:sz w:val="17"/>
              </w:rPr>
              <w:t>3</w:t>
            </w:r>
          </w:p>
        </w:tc>
        <w:tc>
          <w:tcPr>
            <w:tcW w:type="dxa" w:w="3552"/>
            <w:vAlign w:val="top"/>
          </w:tcPr>
          <w:p>
            <w:r/>
            <w:r>
              <w:rPr>
                <w:b w:val="0"/>
                <w:sz w:val="17"/>
              </w:rPr>
              <w:t>Référentiel stratégique</w:t>
            </w:r>
          </w:p>
        </w:tc>
        <w:tc>
          <w:tcPr>
            <w:tcW w:type="dxa" w:w="3552"/>
            <w:vAlign w:val="top"/>
          </w:tcPr>
          <w:p>
            <w:r/>
            <w:r>
              <w:rPr>
                <w:b w:val="0"/>
                <w:sz w:val="17"/>
              </w:rPr>
              <w:t>Nécessaire avant rattachement des activités aux axes</w:t>
            </w:r>
          </w:p>
        </w:tc>
      </w:tr>
      <w:tr>
        <w:tc>
          <w:tcPr>
            <w:tcW w:type="dxa" w:w="3552"/>
            <w:vAlign w:val="top"/>
          </w:tcPr>
          <w:p>
            <w:r/>
            <w:r>
              <w:rPr>
                <w:b w:val="0"/>
                <w:sz w:val="17"/>
              </w:rPr>
              <w:t>4</w:t>
            </w:r>
          </w:p>
        </w:tc>
        <w:tc>
          <w:tcPr>
            <w:tcW w:type="dxa" w:w="3552"/>
            <w:vAlign w:val="top"/>
          </w:tcPr>
          <w:p>
            <w:r/>
            <w:r>
              <w:rPr>
                <w:b w:val="0"/>
                <w:sz w:val="17"/>
              </w:rPr>
              <w:t>Référentiel ACBF</w:t>
            </w:r>
          </w:p>
        </w:tc>
        <w:tc>
          <w:tcPr>
            <w:tcW w:type="dxa" w:w="3552"/>
            <w:vAlign w:val="top"/>
          </w:tcPr>
          <w:p>
            <w:r/>
            <w:r>
              <w:rPr>
                <w:b w:val="0"/>
                <w:sz w:val="17"/>
              </w:rPr>
              <w:t>Nécessaire avant rattachement aux domaines et livrables</w:t>
            </w:r>
          </w:p>
        </w:tc>
      </w:tr>
      <w:tr>
        <w:tc>
          <w:tcPr>
            <w:tcW w:type="dxa" w:w="3552"/>
            <w:vAlign w:val="top"/>
          </w:tcPr>
          <w:p>
            <w:r/>
            <w:r>
              <w:rPr>
                <w:b w:val="0"/>
                <w:sz w:val="17"/>
              </w:rPr>
              <w:t>5</w:t>
            </w:r>
          </w:p>
        </w:tc>
        <w:tc>
          <w:tcPr>
            <w:tcW w:type="dxa" w:w="3552"/>
            <w:vAlign w:val="top"/>
          </w:tcPr>
          <w:p>
            <w:r/>
            <w:r>
              <w:rPr>
                <w:b w:val="0"/>
                <w:sz w:val="17"/>
              </w:rPr>
              <w:t>Gestion des PTA individuels</w:t>
            </w:r>
          </w:p>
        </w:tc>
        <w:tc>
          <w:tcPr>
            <w:tcW w:type="dxa" w:w="3552"/>
            <w:vAlign w:val="top"/>
          </w:tcPr>
          <w:p>
            <w:r/>
            <w:r>
              <w:rPr>
                <w:b w:val="0"/>
                <w:sz w:val="17"/>
              </w:rPr>
              <w:t>Cœur opérationnel</w:t>
            </w:r>
          </w:p>
        </w:tc>
      </w:tr>
      <w:tr>
        <w:tc>
          <w:tcPr>
            <w:tcW w:type="dxa" w:w="3552"/>
            <w:vAlign w:val="top"/>
          </w:tcPr>
          <w:p>
            <w:r/>
            <w:r>
              <w:rPr>
                <w:b w:val="0"/>
                <w:sz w:val="17"/>
              </w:rPr>
              <w:t>6</w:t>
            </w:r>
          </w:p>
        </w:tc>
        <w:tc>
          <w:tcPr>
            <w:tcW w:type="dxa" w:w="3552"/>
            <w:vAlign w:val="top"/>
          </w:tcPr>
          <w:p>
            <w:r/>
            <w:r>
              <w:rPr>
                <w:b w:val="0"/>
                <w:sz w:val="17"/>
              </w:rPr>
              <w:t>PTA consolidé AAEA</w:t>
            </w:r>
          </w:p>
        </w:tc>
        <w:tc>
          <w:tcPr>
            <w:tcW w:type="dxa" w:w="3552"/>
            <w:vAlign w:val="top"/>
          </w:tcPr>
          <w:p>
            <w:r/>
            <w:r>
              <w:rPr>
                <w:b w:val="0"/>
                <w:sz w:val="17"/>
              </w:rPr>
              <w:t>Dépend des activités individuelles</w:t>
            </w:r>
          </w:p>
        </w:tc>
      </w:tr>
      <w:tr>
        <w:tc>
          <w:tcPr>
            <w:tcW w:type="dxa" w:w="3552"/>
            <w:vAlign w:val="top"/>
          </w:tcPr>
          <w:p>
            <w:r/>
            <w:r>
              <w:rPr>
                <w:b w:val="0"/>
                <w:sz w:val="17"/>
              </w:rPr>
              <w:t>7</w:t>
            </w:r>
          </w:p>
        </w:tc>
        <w:tc>
          <w:tcPr>
            <w:tcW w:type="dxa" w:w="3552"/>
            <w:vAlign w:val="top"/>
          </w:tcPr>
          <w:p>
            <w:r/>
            <w:r>
              <w:rPr>
                <w:b w:val="0"/>
                <w:sz w:val="17"/>
              </w:rPr>
              <w:t>Gestion documentaire et preuves</w:t>
            </w:r>
          </w:p>
        </w:tc>
        <w:tc>
          <w:tcPr>
            <w:tcW w:type="dxa" w:w="3552"/>
            <w:vAlign w:val="top"/>
          </w:tcPr>
          <w:p>
            <w:r/>
            <w:r>
              <w:rPr>
                <w:b w:val="0"/>
                <w:sz w:val="17"/>
              </w:rPr>
              <w:t>Les activités doivent recevoir des preuves</w:t>
            </w:r>
          </w:p>
        </w:tc>
      </w:tr>
      <w:tr>
        <w:tc>
          <w:tcPr>
            <w:tcW w:type="dxa" w:w="3552"/>
            <w:vAlign w:val="top"/>
          </w:tcPr>
          <w:p>
            <w:r/>
            <w:r>
              <w:rPr>
                <w:b w:val="0"/>
                <w:sz w:val="17"/>
              </w:rPr>
              <w:t>8</w:t>
            </w:r>
          </w:p>
        </w:tc>
        <w:tc>
          <w:tcPr>
            <w:tcW w:type="dxa" w:w="3552"/>
            <w:vAlign w:val="top"/>
          </w:tcPr>
          <w:p>
            <w:r/>
            <w:r>
              <w:rPr>
                <w:b w:val="0"/>
                <w:sz w:val="17"/>
              </w:rPr>
              <w:t>Matrice RACI</w:t>
            </w:r>
          </w:p>
        </w:tc>
        <w:tc>
          <w:tcPr>
            <w:tcW w:type="dxa" w:w="3552"/>
            <w:vAlign w:val="top"/>
          </w:tcPr>
          <w:p>
            <w:r/>
            <w:r>
              <w:rPr>
                <w:b w:val="0"/>
                <w:sz w:val="17"/>
              </w:rPr>
              <w:t>Liée aux activités et livrables</w:t>
            </w:r>
          </w:p>
        </w:tc>
      </w:tr>
      <w:tr>
        <w:tc>
          <w:tcPr>
            <w:tcW w:type="dxa" w:w="3552"/>
            <w:vAlign w:val="top"/>
          </w:tcPr>
          <w:p>
            <w:r/>
            <w:r>
              <w:rPr>
                <w:b w:val="0"/>
                <w:sz w:val="17"/>
              </w:rPr>
              <w:t>9</w:t>
            </w:r>
          </w:p>
        </w:tc>
        <w:tc>
          <w:tcPr>
            <w:tcW w:type="dxa" w:w="3552"/>
            <w:vAlign w:val="top"/>
          </w:tcPr>
          <w:p>
            <w:r/>
            <w:r>
              <w:rPr>
                <w:b w:val="0"/>
                <w:sz w:val="17"/>
              </w:rPr>
              <w:t>Gantt dynamique</w:t>
            </w:r>
          </w:p>
        </w:tc>
        <w:tc>
          <w:tcPr>
            <w:tcW w:type="dxa" w:w="3552"/>
            <w:vAlign w:val="top"/>
          </w:tcPr>
          <w:p>
            <w:r/>
            <w:r>
              <w:rPr>
                <w:b w:val="0"/>
                <w:sz w:val="17"/>
              </w:rPr>
              <w:t>Généré depuis les dates</w:t>
            </w:r>
          </w:p>
        </w:tc>
      </w:tr>
      <w:tr>
        <w:tc>
          <w:tcPr>
            <w:tcW w:type="dxa" w:w="3552"/>
            <w:vAlign w:val="top"/>
          </w:tcPr>
          <w:p>
            <w:r/>
            <w:r>
              <w:rPr>
                <w:b w:val="0"/>
                <w:sz w:val="17"/>
              </w:rPr>
              <w:t>10</w:t>
            </w:r>
          </w:p>
        </w:tc>
        <w:tc>
          <w:tcPr>
            <w:tcW w:type="dxa" w:w="3552"/>
            <w:vAlign w:val="top"/>
          </w:tcPr>
          <w:p>
            <w:r/>
            <w:r>
              <w:rPr>
                <w:b w:val="0"/>
                <w:sz w:val="17"/>
              </w:rPr>
              <w:t>Tableau de bord</w:t>
            </w:r>
          </w:p>
        </w:tc>
        <w:tc>
          <w:tcPr>
            <w:tcW w:type="dxa" w:w="3552"/>
            <w:vAlign w:val="top"/>
          </w:tcPr>
          <w:p>
            <w:r/>
            <w:r>
              <w:rPr>
                <w:b w:val="0"/>
                <w:sz w:val="17"/>
              </w:rPr>
              <w:t>Généré depuis activités, statuts, preuves et risques</w:t>
            </w:r>
          </w:p>
        </w:tc>
      </w:tr>
      <w:tr>
        <w:tc>
          <w:tcPr>
            <w:tcW w:type="dxa" w:w="3552"/>
            <w:vAlign w:val="top"/>
          </w:tcPr>
          <w:p>
            <w:r/>
            <w:r>
              <w:rPr>
                <w:b w:val="0"/>
                <w:sz w:val="17"/>
              </w:rPr>
              <w:t>11</w:t>
            </w:r>
          </w:p>
        </w:tc>
        <w:tc>
          <w:tcPr>
            <w:tcW w:type="dxa" w:w="3552"/>
            <w:vAlign w:val="top"/>
          </w:tcPr>
          <w:p>
            <w:r/>
            <w:r>
              <w:rPr>
                <w:b w:val="0"/>
                <w:sz w:val="17"/>
              </w:rPr>
              <w:t>Notifications et alertes</w:t>
            </w:r>
          </w:p>
        </w:tc>
        <w:tc>
          <w:tcPr>
            <w:tcW w:type="dxa" w:w="3552"/>
            <w:vAlign w:val="top"/>
          </w:tcPr>
          <w:p>
            <w:r/>
            <w:r>
              <w:rPr>
                <w:b w:val="0"/>
                <w:sz w:val="17"/>
              </w:rPr>
              <w:t>Dépend des dates, statuts et validations</w:t>
            </w:r>
          </w:p>
        </w:tc>
      </w:tr>
      <w:tr>
        <w:tc>
          <w:tcPr>
            <w:tcW w:type="dxa" w:w="3552"/>
            <w:vAlign w:val="top"/>
          </w:tcPr>
          <w:p>
            <w:r/>
            <w:r>
              <w:rPr>
                <w:b w:val="0"/>
                <w:sz w:val="17"/>
              </w:rPr>
              <w:t>12</w:t>
            </w:r>
          </w:p>
        </w:tc>
        <w:tc>
          <w:tcPr>
            <w:tcW w:type="dxa" w:w="3552"/>
            <w:vAlign w:val="top"/>
          </w:tcPr>
          <w:p>
            <w:r/>
            <w:r>
              <w:rPr>
                <w:b w:val="0"/>
                <w:sz w:val="17"/>
              </w:rPr>
              <w:t>Reporting automatique</w:t>
            </w:r>
          </w:p>
        </w:tc>
        <w:tc>
          <w:tcPr>
            <w:tcW w:type="dxa" w:w="3552"/>
            <w:vAlign w:val="top"/>
          </w:tcPr>
          <w:p>
            <w:r/>
            <w:r>
              <w:rPr>
                <w:b w:val="0"/>
                <w:sz w:val="17"/>
              </w:rPr>
              <w:t>Dépend des PTA, preuves, dashboard et RACI</w:t>
            </w:r>
          </w:p>
        </w:tc>
      </w:tr>
      <w:tr>
        <w:tc>
          <w:tcPr>
            <w:tcW w:type="dxa" w:w="3552"/>
            <w:vAlign w:val="top"/>
          </w:tcPr>
          <w:p>
            <w:r/>
            <w:r>
              <w:rPr>
                <w:b w:val="0"/>
                <w:sz w:val="17"/>
              </w:rPr>
              <w:t>13</w:t>
            </w:r>
          </w:p>
        </w:tc>
        <w:tc>
          <w:tcPr>
            <w:tcW w:type="dxa" w:w="3552"/>
            <w:vAlign w:val="top"/>
          </w:tcPr>
          <w:p>
            <w:r/>
            <w:r>
              <w:rPr>
                <w:b w:val="0"/>
                <w:sz w:val="17"/>
              </w:rPr>
              <w:t>Exports PDF, Excel et Word</w:t>
            </w:r>
          </w:p>
        </w:tc>
        <w:tc>
          <w:tcPr>
            <w:tcW w:type="dxa" w:w="3552"/>
            <w:vAlign w:val="top"/>
          </w:tcPr>
          <w:p>
            <w:r/>
            <w:r>
              <w:rPr>
                <w:b w:val="0"/>
                <w:sz w:val="17"/>
              </w:rPr>
              <w:t>Dépend des rapports et vues consolidées</w:t>
            </w:r>
          </w:p>
        </w:tc>
      </w:tr>
      <w:tr>
        <w:tc>
          <w:tcPr>
            <w:tcW w:type="dxa" w:w="3552"/>
            <w:vAlign w:val="top"/>
          </w:tcPr>
          <w:p>
            <w:r/>
            <w:r>
              <w:rPr>
                <w:b w:val="0"/>
                <w:sz w:val="17"/>
              </w:rPr>
              <w:t>14</w:t>
            </w:r>
          </w:p>
        </w:tc>
        <w:tc>
          <w:tcPr>
            <w:tcW w:type="dxa" w:w="3552"/>
            <w:vAlign w:val="top"/>
          </w:tcPr>
          <w:p>
            <w:r/>
            <w:r>
              <w:rPr>
                <w:b w:val="0"/>
                <w:sz w:val="17"/>
              </w:rPr>
              <w:t>Import Excel</w:t>
            </w:r>
          </w:p>
        </w:tc>
        <w:tc>
          <w:tcPr>
            <w:tcW w:type="dxa" w:w="3552"/>
            <w:vAlign w:val="top"/>
          </w:tcPr>
          <w:p>
            <w:r/>
            <w:r>
              <w:rPr>
                <w:b w:val="0"/>
                <w:sz w:val="17"/>
              </w:rPr>
              <w:t>À ajouter après stabilisation du modèle</w:t>
            </w:r>
          </w:p>
        </w:tc>
      </w:tr>
      <w:tr>
        <w:tc>
          <w:tcPr>
            <w:tcW w:type="dxa" w:w="3552"/>
            <w:vAlign w:val="top"/>
          </w:tcPr>
          <w:p>
            <w:r/>
            <w:r>
              <w:rPr>
                <w:b w:val="0"/>
                <w:sz w:val="17"/>
              </w:rPr>
              <w:t>15</w:t>
            </w:r>
          </w:p>
        </w:tc>
        <w:tc>
          <w:tcPr>
            <w:tcW w:type="dxa" w:w="3552"/>
            <w:vAlign w:val="top"/>
          </w:tcPr>
          <w:p>
            <w:r/>
            <w:r>
              <w:rPr>
                <w:b w:val="0"/>
                <w:sz w:val="17"/>
              </w:rPr>
              <w:t>Journal d’audit</w:t>
            </w:r>
          </w:p>
        </w:tc>
        <w:tc>
          <w:tcPr>
            <w:tcW w:type="dxa" w:w="3552"/>
            <w:vAlign w:val="top"/>
          </w:tcPr>
          <w:p>
            <w:r/>
            <w:r>
              <w:rPr>
                <w:b w:val="0"/>
                <w:sz w:val="17"/>
              </w:rPr>
              <w:t>À intégrer progressivement et finaliser avant production</w:t>
            </w:r>
          </w:p>
        </w:tc>
      </w:tr>
    </w:tbl>
    <w:p/>
    <w:p>
      <w:pPr>
        <w:pStyle w:val="Heading1"/>
      </w:pPr>
      <w:r>
        <w:t>5. Axes stratégiques officiels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top"/>
            <w:shd w:fill="1F4E79"/>
          </w:tcPr>
          <w:p>
            <w:r/>
            <w:r>
              <w:rPr>
                <w:b/>
                <w:color w:val="FFFFFF"/>
                <w:sz w:val="17"/>
              </w:rPr>
              <w:t>Code</w:t>
            </w:r>
          </w:p>
        </w:tc>
        <w:tc>
          <w:tcPr>
            <w:tcW w:type="dxa" w:w="1776"/>
            <w:vAlign w:val="top"/>
            <w:shd w:fill="1F4E79"/>
          </w:tcPr>
          <w:p>
            <w:r/>
            <w:r>
              <w:rPr>
                <w:b/>
                <w:color w:val="FFFFFF"/>
                <w:sz w:val="17"/>
              </w:rPr>
              <w:t>Axe</w:t>
            </w:r>
          </w:p>
        </w:tc>
        <w:tc>
          <w:tcPr>
            <w:tcW w:type="dxa" w:w="1776"/>
            <w:vAlign w:val="top"/>
            <w:shd w:fill="1F4E79"/>
          </w:tcPr>
          <w:p>
            <w:r/>
            <w:r>
              <w:rPr>
                <w:b/>
                <w:color w:val="FFFFFF"/>
                <w:sz w:val="17"/>
              </w:rPr>
              <w:t>Objectif</w:t>
            </w:r>
          </w:p>
        </w:tc>
        <w:tc>
          <w:tcPr>
            <w:tcW w:type="dxa" w:w="1776"/>
            <w:vAlign w:val="top"/>
            <w:shd w:fill="1F4E79"/>
          </w:tcPr>
          <w:p>
            <w:r/>
            <w:r>
              <w:rPr>
                <w:b/>
                <w:color w:val="FFFFFF"/>
                <w:sz w:val="17"/>
              </w:rPr>
              <w:t>Résultats attendus</w:t>
            </w:r>
          </w:p>
        </w:tc>
        <w:tc>
          <w:tcPr>
            <w:tcW w:type="dxa" w:w="1776"/>
            <w:vAlign w:val="top"/>
            <w:shd w:fill="1F4E79"/>
          </w:tcPr>
          <w:p>
            <w:r/>
            <w:r>
              <w:rPr>
                <w:b/>
                <w:color w:val="FFFFFF"/>
                <w:sz w:val="17"/>
              </w:rPr>
              <w:t>Indicateurs</w:t>
            </w:r>
          </w:p>
        </w:tc>
        <w:tc>
          <w:tcPr>
            <w:tcW w:type="dxa" w:w="1776"/>
            <w:vAlign w:val="top"/>
            <w:shd w:fill="1F4E79"/>
          </w:tcPr>
          <w:p>
            <w:r/>
            <w:r>
              <w:rPr>
                <w:b/>
                <w:color w:val="FFFFFF"/>
                <w:sz w:val="17"/>
              </w:rPr>
              <w:t>Unités concernées</w:t>
            </w:r>
          </w:p>
        </w:tc>
      </w:tr>
      <w:tr>
        <w:tc>
          <w:tcPr>
            <w:tcW w:type="dxa" w:w="1776"/>
            <w:vAlign w:val="top"/>
          </w:tcPr>
          <w:p>
            <w:r/>
            <w:r>
              <w:rPr>
                <w:b w:val="0"/>
                <w:sz w:val="17"/>
              </w:rPr>
              <w:t>AXE 1</w:t>
            </w:r>
          </w:p>
        </w:tc>
        <w:tc>
          <w:tcPr>
            <w:tcW w:type="dxa" w:w="1776"/>
            <w:vAlign w:val="top"/>
          </w:tcPr>
          <w:p>
            <w:r/>
            <w:r>
              <w:rPr>
                <w:b w:val="0"/>
                <w:sz w:val="17"/>
              </w:rPr>
              <w:t>Renforcement des capacités</w:t>
            </w:r>
          </w:p>
        </w:tc>
        <w:tc>
          <w:tcPr>
            <w:tcW w:type="dxa" w:w="1776"/>
            <w:vAlign w:val="top"/>
          </w:tcPr>
          <w:p>
            <w:r/>
            <w:r>
              <w:rPr>
                <w:b w:val="0"/>
                <w:sz w:val="17"/>
              </w:rPr>
              <w:t>Renforcer durablement les compétences techniques, managériales, institutionnelles et de plaidoyer des acteurs WASH.</w:t>
            </w:r>
          </w:p>
        </w:tc>
        <w:tc>
          <w:tcPr>
            <w:tcW w:type="dxa" w:w="1776"/>
            <w:vAlign w:val="top"/>
          </w:tcPr>
          <w:p>
            <w:r/>
            <w:r>
              <w:rPr>
                <w:b w:val="0"/>
                <w:sz w:val="17"/>
              </w:rPr>
              <w:t>Professionnalisation accrue, formations certifiantes, mentorat, apprentissage entre pairs et bonnes pratiques diffusées.</w:t>
            </w:r>
          </w:p>
        </w:tc>
        <w:tc>
          <w:tcPr>
            <w:tcW w:type="dxa" w:w="1776"/>
            <w:vAlign w:val="top"/>
          </w:tcPr>
          <w:p>
            <w:r/>
            <w:r>
              <w:rPr>
                <w:b w:val="0"/>
                <w:sz w:val="17"/>
              </w:rPr>
              <w:t>Nombre de professionnels formés/certifiés; taux de satisfaction; nombre de formations; nombre de bonnes pratiques diffusées.</w:t>
            </w:r>
          </w:p>
        </w:tc>
        <w:tc>
          <w:tcPr>
            <w:tcW w:type="dxa" w:w="1776"/>
            <w:vAlign w:val="top"/>
          </w:tcPr>
          <w:p>
            <w:r/>
            <w:r>
              <w:rPr>
                <w:b w:val="0"/>
                <w:sz w:val="17"/>
              </w:rPr>
              <w:t>DSMP; Coordinateurs; Connaissances; RH; MEAL</w:t>
            </w:r>
          </w:p>
        </w:tc>
      </w:tr>
      <w:tr>
        <w:tc>
          <w:tcPr>
            <w:tcW w:type="dxa" w:w="1776"/>
            <w:vAlign w:val="top"/>
          </w:tcPr>
          <w:p>
            <w:r/>
            <w:r>
              <w:rPr>
                <w:b w:val="0"/>
                <w:sz w:val="17"/>
              </w:rPr>
              <w:t>AXE 2</w:t>
            </w:r>
          </w:p>
        </w:tc>
        <w:tc>
          <w:tcPr>
            <w:tcW w:type="dxa" w:w="1776"/>
            <w:vAlign w:val="top"/>
          </w:tcPr>
          <w:p>
            <w:r/>
            <w:r>
              <w:rPr>
                <w:b w:val="0"/>
                <w:sz w:val="17"/>
              </w:rPr>
              <w:t>Développement des services</w:t>
            </w:r>
          </w:p>
        </w:tc>
        <w:tc>
          <w:tcPr>
            <w:tcW w:type="dxa" w:w="1776"/>
            <w:vAlign w:val="top"/>
          </w:tcPr>
          <w:p>
            <w:r/>
            <w:r>
              <w:rPr>
                <w:b w:val="0"/>
                <w:sz w:val="17"/>
              </w:rPr>
              <w:t>Structurer et déployer une offre intégrée de services à forte valeur ajoutée pour les membres, institutions et partenaires.</w:t>
            </w:r>
          </w:p>
        </w:tc>
        <w:tc>
          <w:tcPr>
            <w:tcW w:type="dxa" w:w="1776"/>
            <w:vAlign w:val="top"/>
          </w:tcPr>
          <w:p>
            <w:r/>
            <w:r>
              <w:rPr>
                <w:b w:val="0"/>
                <w:sz w:val="17"/>
              </w:rPr>
              <w:t>Utilisation accrue des services, satisfaction renforcée, amélioration des performances des institutions appuyées.</w:t>
            </w:r>
          </w:p>
        </w:tc>
        <w:tc>
          <w:tcPr>
            <w:tcW w:type="dxa" w:w="1776"/>
            <w:vAlign w:val="top"/>
          </w:tcPr>
          <w:p>
            <w:r/>
            <w:r>
              <w:rPr>
                <w:b w:val="0"/>
                <w:sz w:val="17"/>
              </w:rPr>
              <w:t>Taux d’utilisation des services; nombre d’institutions accompagnées; satisfaction; nombre de services déployés.</w:t>
            </w:r>
          </w:p>
        </w:tc>
        <w:tc>
          <w:tcPr>
            <w:tcW w:type="dxa" w:w="1776"/>
            <w:vAlign w:val="top"/>
          </w:tcPr>
          <w:p>
            <w:r/>
            <w:r>
              <w:rPr>
                <w:b w:val="0"/>
                <w:sz w:val="17"/>
              </w:rPr>
              <w:t>DSMP; Services aux membres; Événements; Sponsoring; MEAL; Numérique; Communication</w:t>
            </w:r>
          </w:p>
        </w:tc>
      </w:tr>
      <w:tr>
        <w:tc>
          <w:tcPr>
            <w:tcW w:type="dxa" w:w="1776"/>
            <w:vAlign w:val="top"/>
          </w:tcPr>
          <w:p>
            <w:r/>
            <w:r>
              <w:rPr>
                <w:b w:val="0"/>
                <w:sz w:val="17"/>
              </w:rPr>
              <w:t>AXE 3</w:t>
            </w:r>
          </w:p>
        </w:tc>
        <w:tc>
          <w:tcPr>
            <w:tcW w:type="dxa" w:w="1776"/>
            <w:vAlign w:val="top"/>
          </w:tcPr>
          <w:p>
            <w:r/>
            <w:r>
              <w:rPr>
                <w:b w:val="0"/>
                <w:sz w:val="17"/>
              </w:rPr>
              <w:t>Données et innovation</w:t>
            </w:r>
          </w:p>
        </w:tc>
        <w:tc>
          <w:tcPr>
            <w:tcW w:type="dxa" w:w="1776"/>
            <w:vAlign w:val="top"/>
          </w:tcPr>
          <w:p>
            <w:r/>
            <w:r>
              <w:rPr>
                <w:b w:val="0"/>
                <w:sz w:val="17"/>
              </w:rPr>
              <w:t>Faire de la donnée, de l’innovation et du numérique des leviers de performance, redevabilité et plaidoyer sectoriel.</w:t>
            </w:r>
          </w:p>
        </w:tc>
        <w:tc>
          <w:tcPr>
            <w:tcW w:type="dxa" w:w="1776"/>
            <w:vAlign w:val="top"/>
          </w:tcPr>
          <w:p>
            <w:r/>
            <w:r>
              <w:rPr>
                <w:b w:val="0"/>
                <w:sz w:val="17"/>
              </w:rPr>
              <w:t>Données WASH fiables, plateformes numériques sécurisées, tableaux de bord, rapports sectoriels et décisions fondées sur les données.</w:t>
            </w:r>
          </w:p>
        </w:tc>
        <w:tc>
          <w:tcPr>
            <w:tcW w:type="dxa" w:w="1776"/>
            <w:vAlign w:val="top"/>
          </w:tcPr>
          <w:p>
            <w:r/>
            <w:r>
              <w:rPr>
                <w:b w:val="0"/>
                <w:sz w:val="17"/>
              </w:rPr>
              <w:t>Nombre d’outils numériques opérationnels; fréquence des tableaux de bord; nombre de rapports produits; niveau d’utilisation des données.</w:t>
            </w:r>
          </w:p>
        </w:tc>
        <w:tc>
          <w:tcPr>
            <w:tcW w:type="dxa" w:w="1776"/>
            <w:vAlign w:val="top"/>
          </w:tcPr>
          <w:p>
            <w:r/>
            <w:r>
              <w:rPr>
                <w:b w:val="0"/>
                <w:sz w:val="17"/>
              </w:rPr>
              <w:t>MEAL; Numérique; DEx; DSMP; Communication; Coordinateurs</w:t>
            </w:r>
          </w:p>
        </w:tc>
      </w:tr>
      <w:tr>
        <w:tc>
          <w:tcPr>
            <w:tcW w:type="dxa" w:w="1776"/>
            <w:vAlign w:val="top"/>
          </w:tcPr>
          <w:p>
            <w:r/>
            <w:r>
              <w:rPr>
                <w:b w:val="0"/>
                <w:sz w:val="17"/>
              </w:rPr>
              <w:t>AXE 4</w:t>
            </w:r>
          </w:p>
        </w:tc>
        <w:tc>
          <w:tcPr>
            <w:tcW w:type="dxa" w:w="1776"/>
            <w:vAlign w:val="top"/>
          </w:tcPr>
          <w:p>
            <w:r/>
            <w:r>
              <w:rPr>
                <w:b w:val="0"/>
                <w:sz w:val="17"/>
              </w:rPr>
              <w:t>Développement de partenariat</w:t>
            </w:r>
          </w:p>
        </w:tc>
        <w:tc>
          <w:tcPr>
            <w:tcW w:type="dxa" w:w="1776"/>
            <w:vAlign w:val="top"/>
          </w:tcPr>
          <w:p>
            <w:r/>
            <w:r>
              <w:rPr>
                <w:b w:val="0"/>
                <w:sz w:val="17"/>
              </w:rPr>
              <w:t>Consolider, structurer et élargir les partenariats institutionnels, techniques et financiers de l’AAEA.</w:t>
            </w:r>
          </w:p>
        </w:tc>
        <w:tc>
          <w:tcPr>
            <w:tcW w:type="dxa" w:w="1776"/>
            <w:vAlign w:val="top"/>
          </w:tcPr>
          <w:p>
            <w:r/>
            <w:r>
              <w:rPr>
                <w:b w:val="0"/>
                <w:sz w:val="17"/>
              </w:rPr>
              <w:t>Portefeuille de partenariats diversifié, ressources mobilisées, projets conjoints et collaborations structurées.</w:t>
            </w:r>
          </w:p>
        </w:tc>
        <w:tc>
          <w:tcPr>
            <w:tcW w:type="dxa" w:w="1776"/>
            <w:vAlign w:val="top"/>
          </w:tcPr>
          <w:p>
            <w:r/>
            <w:r>
              <w:rPr>
                <w:b w:val="0"/>
                <w:sz w:val="17"/>
              </w:rPr>
              <w:t>Nombre de partenariats actifs; ressources mobilisées; projets conjoints; MoU signés; niveau d’alignement stratégique.</w:t>
            </w:r>
          </w:p>
        </w:tc>
        <w:tc>
          <w:tcPr>
            <w:tcW w:type="dxa" w:w="1776"/>
            <w:vAlign w:val="top"/>
          </w:tcPr>
          <w:p>
            <w:r/>
            <w:r>
              <w:rPr>
                <w:b w:val="0"/>
                <w:sz w:val="17"/>
              </w:rPr>
              <w:t>DEx; DSMP; Sponsoring; Coordinateurs; DAF; Communication</w:t>
            </w:r>
          </w:p>
        </w:tc>
      </w:tr>
      <w:tr>
        <w:tc>
          <w:tcPr>
            <w:tcW w:type="dxa" w:w="1776"/>
            <w:vAlign w:val="top"/>
          </w:tcPr>
          <w:p>
            <w:r/>
            <w:r>
              <w:rPr>
                <w:b w:val="0"/>
                <w:sz w:val="17"/>
              </w:rPr>
              <w:t>AXE 5</w:t>
            </w:r>
          </w:p>
        </w:tc>
        <w:tc>
          <w:tcPr>
            <w:tcW w:type="dxa" w:w="1776"/>
            <w:vAlign w:val="top"/>
          </w:tcPr>
          <w:p>
            <w:r/>
            <w:r>
              <w:rPr>
                <w:b w:val="0"/>
                <w:sz w:val="17"/>
              </w:rPr>
              <w:t>Gouvernance et durabilité institutionnelle</w:t>
            </w:r>
          </w:p>
        </w:tc>
        <w:tc>
          <w:tcPr>
            <w:tcW w:type="dxa" w:w="1776"/>
            <w:vAlign w:val="top"/>
          </w:tcPr>
          <w:p>
            <w:r/>
            <w:r>
              <w:rPr>
                <w:b w:val="0"/>
                <w:sz w:val="17"/>
              </w:rPr>
              <w:t>Renforcer la gouvernance, la conformité, la performance organisationnelle et la durabilité financière de l’AAEA.</w:t>
            </w:r>
          </w:p>
        </w:tc>
        <w:tc>
          <w:tcPr>
            <w:tcW w:type="dxa" w:w="1776"/>
            <w:vAlign w:val="top"/>
          </w:tcPr>
          <w:p>
            <w:r/>
            <w:r>
              <w:rPr>
                <w:b w:val="0"/>
                <w:sz w:val="17"/>
              </w:rPr>
              <w:t>Gouvernance modernisée, autonomie financière renforcée, pilotage stratégique amélioré, risques maîtrisés.</w:t>
            </w:r>
          </w:p>
        </w:tc>
        <w:tc>
          <w:tcPr>
            <w:tcW w:type="dxa" w:w="1776"/>
            <w:vAlign w:val="top"/>
          </w:tcPr>
          <w:p>
            <w:r/>
            <w:r>
              <w:rPr>
                <w:b w:val="0"/>
                <w:sz w:val="17"/>
              </w:rPr>
              <w:t>Taux d’exécution du plan stratégique; audits réalisés; rapports qualité; conformité; ressources propres; risques suivis.</w:t>
            </w:r>
          </w:p>
        </w:tc>
        <w:tc>
          <w:tcPr>
            <w:tcW w:type="dxa" w:w="1776"/>
            <w:vAlign w:val="top"/>
          </w:tcPr>
          <w:p>
            <w:r/>
            <w:r>
              <w:rPr>
                <w:b w:val="0"/>
                <w:sz w:val="17"/>
              </w:rPr>
              <w:t>DEx; DAF; Conformité &amp; Performance; RH; Logistique; Finance; MEAL</w:t>
            </w:r>
          </w:p>
        </w:tc>
      </w:tr>
    </w:tbl>
    <w:p/>
    <w:p>
      <w:pPr>
        <w:pStyle w:val="Heading1"/>
      </w:pPr>
      <w:r>
        <w:t>6. Domaines ACBF officiels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7"/>
              </w:rPr>
              <w:t>N°</w:t>
            </w:r>
          </w:p>
        </w:tc>
        <w:tc>
          <w:tcPr>
            <w:tcW w:type="dxa" w:w="5328"/>
            <w:vAlign w:val="top"/>
            <w:shd w:fill="1F4E79"/>
          </w:tcPr>
          <w:p>
            <w:r/>
            <w:r>
              <w:rPr>
                <w:b/>
                <w:color w:val="FFFFFF"/>
                <w:sz w:val="17"/>
              </w:rPr>
              <w:t>Domaine ACBF</w:t>
            </w:r>
          </w:p>
        </w:tc>
      </w:tr>
      <w:tr>
        <w:tc>
          <w:tcPr>
            <w:tcW w:type="dxa" w:w="5328"/>
            <w:vAlign w:val="top"/>
          </w:tcPr>
          <w:p>
            <w:r/>
            <w:r>
              <w:rPr>
                <w:b w:val="0"/>
                <w:sz w:val="17"/>
              </w:rPr>
              <w:t>1</w:t>
            </w:r>
          </w:p>
        </w:tc>
        <w:tc>
          <w:tcPr>
            <w:tcW w:type="dxa" w:w="5328"/>
            <w:vAlign w:val="top"/>
          </w:tcPr>
          <w:p>
            <w:r/>
            <w:r>
              <w:rPr>
                <w:b w:val="0"/>
                <w:sz w:val="17"/>
              </w:rPr>
              <w:t>Governance &amp; Organizational Structure</w:t>
            </w:r>
          </w:p>
        </w:tc>
      </w:tr>
      <w:tr>
        <w:tc>
          <w:tcPr>
            <w:tcW w:type="dxa" w:w="5328"/>
            <w:vAlign w:val="top"/>
          </w:tcPr>
          <w:p>
            <w:r/>
            <w:r>
              <w:rPr>
                <w:b w:val="0"/>
                <w:sz w:val="17"/>
              </w:rPr>
              <w:t>2</w:t>
            </w:r>
          </w:p>
        </w:tc>
        <w:tc>
          <w:tcPr>
            <w:tcW w:type="dxa" w:w="5328"/>
            <w:vAlign w:val="top"/>
          </w:tcPr>
          <w:p>
            <w:r/>
            <w:r>
              <w:rPr>
                <w:b w:val="0"/>
                <w:sz w:val="17"/>
              </w:rPr>
              <w:t>Strategic &amp; Operational Planning</w:t>
            </w:r>
          </w:p>
        </w:tc>
      </w:tr>
      <w:tr>
        <w:tc>
          <w:tcPr>
            <w:tcW w:type="dxa" w:w="5328"/>
            <w:vAlign w:val="top"/>
          </w:tcPr>
          <w:p>
            <w:r/>
            <w:r>
              <w:rPr>
                <w:b w:val="0"/>
                <w:sz w:val="17"/>
              </w:rPr>
              <w:t>3</w:t>
            </w:r>
          </w:p>
        </w:tc>
        <w:tc>
          <w:tcPr>
            <w:tcW w:type="dxa" w:w="5328"/>
            <w:vAlign w:val="top"/>
          </w:tcPr>
          <w:p>
            <w:r/>
            <w:r>
              <w:rPr>
                <w:b w:val="0"/>
                <w:sz w:val="17"/>
              </w:rPr>
              <w:t>Program &amp; Project Management</w:t>
            </w:r>
          </w:p>
        </w:tc>
      </w:tr>
      <w:tr>
        <w:tc>
          <w:tcPr>
            <w:tcW w:type="dxa" w:w="5328"/>
            <w:vAlign w:val="top"/>
          </w:tcPr>
          <w:p>
            <w:r/>
            <w:r>
              <w:rPr>
                <w:b w:val="0"/>
                <w:sz w:val="17"/>
              </w:rPr>
              <w:t>4</w:t>
            </w:r>
          </w:p>
        </w:tc>
        <w:tc>
          <w:tcPr>
            <w:tcW w:type="dxa" w:w="5328"/>
            <w:vAlign w:val="top"/>
          </w:tcPr>
          <w:p>
            <w:r/>
            <w:r>
              <w:rPr>
                <w:b w:val="0"/>
                <w:sz w:val="17"/>
              </w:rPr>
              <w:t>Monitoring, Evaluation, Accountability &amp; Learning — MEAL</w:t>
            </w:r>
          </w:p>
        </w:tc>
      </w:tr>
      <w:tr>
        <w:tc>
          <w:tcPr>
            <w:tcW w:type="dxa" w:w="5328"/>
            <w:vAlign w:val="top"/>
          </w:tcPr>
          <w:p>
            <w:r/>
            <w:r>
              <w:rPr>
                <w:b w:val="0"/>
                <w:sz w:val="17"/>
              </w:rPr>
              <w:t>5</w:t>
            </w:r>
          </w:p>
        </w:tc>
        <w:tc>
          <w:tcPr>
            <w:tcW w:type="dxa" w:w="5328"/>
            <w:vAlign w:val="top"/>
          </w:tcPr>
          <w:p>
            <w:r/>
            <w:r>
              <w:rPr>
                <w:b w:val="0"/>
                <w:sz w:val="17"/>
              </w:rPr>
              <w:t>Human Resources &amp; Leadership</w:t>
            </w:r>
          </w:p>
        </w:tc>
      </w:tr>
      <w:tr>
        <w:tc>
          <w:tcPr>
            <w:tcW w:type="dxa" w:w="5328"/>
            <w:vAlign w:val="top"/>
          </w:tcPr>
          <w:p>
            <w:r/>
            <w:r>
              <w:rPr>
                <w:b w:val="0"/>
                <w:sz w:val="17"/>
              </w:rPr>
              <w:t>6</w:t>
            </w:r>
          </w:p>
        </w:tc>
        <w:tc>
          <w:tcPr>
            <w:tcW w:type="dxa" w:w="5328"/>
            <w:vAlign w:val="top"/>
          </w:tcPr>
          <w:p>
            <w:r/>
            <w:r>
              <w:rPr>
                <w:b w:val="0"/>
                <w:sz w:val="17"/>
              </w:rPr>
              <w:t>Financial Management &amp; Compliance</w:t>
            </w:r>
          </w:p>
        </w:tc>
      </w:tr>
      <w:tr>
        <w:tc>
          <w:tcPr>
            <w:tcW w:type="dxa" w:w="5328"/>
            <w:vAlign w:val="top"/>
          </w:tcPr>
          <w:p>
            <w:r/>
            <w:r>
              <w:rPr>
                <w:b w:val="0"/>
                <w:sz w:val="17"/>
              </w:rPr>
              <w:t>7</w:t>
            </w:r>
          </w:p>
        </w:tc>
        <w:tc>
          <w:tcPr>
            <w:tcW w:type="dxa" w:w="5328"/>
            <w:vAlign w:val="top"/>
          </w:tcPr>
          <w:p>
            <w:r/>
            <w:r>
              <w:rPr>
                <w:b w:val="0"/>
                <w:sz w:val="17"/>
              </w:rPr>
              <w:t>Administrative &amp; Operational Systems</w:t>
            </w:r>
          </w:p>
        </w:tc>
      </w:tr>
      <w:tr>
        <w:tc>
          <w:tcPr>
            <w:tcW w:type="dxa" w:w="5328"/>
            <w:vAlign w:val="top"/>
          </w:tcPr>
          <w:p>
            <w:r/>
            <w:r>
              <w:rPr>
                <w:b w:val="0"/>
                <w:sz w:val="17"/>
              </w:rPr>
              <w:t>8</w:t>
            </w:r>
          </w:p>
        </w:tc>
        <w:tc>
          <w:tcPr>
            <w:tcW w:type="dxa" w:w="5328"/>
            <w:vAlign w:val="top"/>
          </w:tcPr>
          <w:p>
            <w:r/>
            <w:r>
              <w:rPr>
                <w:b w:val="0"/>
                <w:sz w:val="17"/>
              </w:rPr>
              <w:t>ICT, Digital Systems &amp; Infrastructure</w:t>
            </w:r>
          </w:p>
        </w:tc>
      </w:tr>
      <w:tr>
        <w:tc>
          <w:tcPr>
            <w:tcW w:type="dxa" w:w="5328"/>
            <w:vAlign w:val="top"/>
          </w:tcPr>
          <w:p>
            <w:r/>
            <w:r>
              <w:rPr>
                <w:b w:val="0"/>
                <w:sz w:val="17"/>
              </w:rPr>
              <w:t>9</w:t>
            </w:r>
          </w:p>
        </w:tc>
        <w:tc>
          <w:tcPr>
            <w:tcW w:type="dxa" w:w="5328"/>
            <w:vAlign w:val="top"/>
          </w:tcPr>
          <w:p>
            <w:r/>
            <w:r>
              <w:rPr>
                <w:b w:val="0"/>
                <w:sz w:val="17"/>
              </w:rPr>
              <w:t>Communications, Advocacy &amp; Visibility</w:t>
            </w:r>
          </w:p>
        </w:tc>
      </w:tr>
      <w:tr>
        <w:tc>
          <w:tcPr>
            <w:tcW w:type="dxa" w:w="5328"/>
            <w:vAlign w:val="top"/>
          </w:tcPr>
          <w:p>
            <w:r/>
            <w:r>
              <w:rPr>
                <w:b w:val="0"/>
                <w:sz w:val="17"/>
              </w:rPr>
              <w:t>10</w:t>
            </w:r>
          </w:p>
        </w:tc>
        <w:tc>
          <w:tcPr>
            <w:tcW w:type="dxa" w:w="5328"/>
            <w:vAlign w:val="top"/>
          </w:tcPr>
          <w:p>
            <w:r/>
            <w:r>
              <w:rPr>
                <w:b w:val="0"/>
                <w:sz w:val="17"/>
              </w:rPr>
              <w:t>Membership &amp; Stakeholder Management</w:t>
            </w:r>
          </w:p>
        </w:tc>
      </w:tr>
      <w:tr>
        <w:tc>
          <w:tcPr>
            <w:tcW w:type="dxa" w:w="5328"/>
            <w:vAlign w:val="top"/>
          </w:tcPr>
          <w:p>
            <w:r/>
            <w:r>
              <w:rPr>
                <w:b w:val="0"/>
                <w:sz w:val="17"/>
              </w:rPr>
              <w:t>11</w:t>
            </w:r>
          </w:p>
        </w:tc>
        <w:tc>
          <w:tcPr>
            <w:tcW w:type="dxa" w:w="5328"/>
            <w:vAlign w:val="top"/>
          </w:tcPr>
          <w:p>
            <w:r/>
            <w:r>
              <w:rPr>
                <w:b w:val="0"/>
                <w:sz w:val="17"/>
              </w:rPr>
              <w:t>Sustainability, Resource Mobilization &amp; Partnerships</w:t>
            </w:r>
          </w:p>
        </w:tc>
      </w:tr>
      <w:tr>
        <w:tc>
          <w:tcPr>
            <w:tcW w:type="dxa" w:w="5328"/>
            <w:vAlign w:val="top"/>
          </w:tcPr>
          <w:p>
            <w:r/>
            <w:r>
              <w:rPr>
                <w:b w:val="0"/>
                <w:sz w:val="17"/>
              </w:rPr>
              <w:t>12</w:t>
            </w:r>
          </w:p>
        </w:tc>
        <w:tc>
          <w:tcPr>
            <w:tcW w:type="dxa" w:w="5328"/>
            <w:vAlign w:val="top"/>
          </w:tcPr>
          <w:p>
            <w:r/>
            <w:r>
              <w:rPr>
                <w:b w:val="0"/>
                <w:sz w:val="17"/>
              </w:rPr>
              <w:t>Legal &amp; Compliance</w:t>
            </w:r>
          </w:p>
        </w:tc>
      </w:tr>
      <w:tr>
        <w:tc>
          <w:tcPr>
            <w:tcW w:type="dxa" w:w="5328"/>
            <w:vAlign w:val="top"/>
          </w:tcPr>
          <w:p>
            <w:r/>
            <w:r>
              <w:rPr>
                <w:b w:val="0"/>
                <w:sz w:val="17"/>
              </w:rPr>
              <w:t>13</w:t>
            </w:r>
          </w:p>
        </w:tc>
        <w:tc>
          <w:tcPr>
            <w:tcW w:type="dxa" w:w="5328"/>
            <w:vAlign w:val="top"/>
          </w:tcPr>
          <w:p>
            <w:r/>
            <w:r>
              <w:rPr>
                <w:b w:val="0"/>
                <w:sz w:val="17"/>
              </w:rPr>
              <w:t>Research and Knowledge Management</w:t>
            </w:r>
          </w:p>
        </w:tc>
      </w:tr>
      <w:tr>
        <w:tc>
          <w:tcPr>
            <w:tcW w:type="dxa" w:w="5328"/>
            <w:vAlign w:val="top"/>
          </w:tcPr>
          <w:p>
            <w:r/>
            <w:r>
              <w:rPr>
                <w:b w:val="0"/>
                <w:sz w:val="17"/>
              </w:rPr>
              <w:t>14</w:t>
            </w:r>
          </w:p>
        </w:tc>
        <w:tc>
          <w:tcPr>
            <w:tcW w:type="dxa" w:w="5328"/>
            <w:vAlign w:val="top"/>
          </w:tcPr>
          <w:p>
            <w:r/>
            <w:r>
              <w:rPr>
                <w:b w:val="0"/>
                <w:sz w:val="17"/>
              </w:rPr>
              <w:t>Optional / Supporting Documents</w:t>
            </w:r>
          </w:p>
        </w:tc>
      </w:tr>
    </w:tbl>
    <w:p/>
    <w:p>
      <w:pPr>
        <w:pStyle w:val="Heading1"/>
      </w:pPr>
      <w:r>
        <w:t>7. Équipe AAEA et codes PTA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1F4E79"/>
          </w:tcPr>
          <w:p>
            <w:r/>
            <w:r>
              <w:rPr>
                <w:b/>
                <w:color w:val="FFFFFF"/>
                <w:sz w:val="17"/>
              </w:rPr>
              <w:t>Code PTA</w:t>
            </w:r>
          </w:p>
        </w:tc>
        <w:tc>
          <w:tcPr>
            <w:tcW w:type="dxa" w:w="2664"/>
            <w:vAlign w:val="top"/>
            <w:shd w:fill="1F4E79"/>
          </w:tcPr>
          <w:p>
            <w:r/>
            <w:r>
              <w:rPr>
                <w:b/>
                <w:color w:val="FFFFFF"/>
                <w:sz w:val="17"/>
              </w:rPr>
              <w:t>Nom et prénoms</w:t>
            </w:r>
          </w:p>
        </w:tc>
        <w:tc>
          <w:tcPr>
            <w:tcW w:type="dxa" w:w="2664"/>
            <w:vAlign w:val="top"/>
            <w:shd w:fill="1F4E79"/>
          </w:tcPr>
          <w:p>
            <w:r/>
            <w:r>
              <w:rPr>
                <w:b/>
                <w:color w:val="FFFFFF"/>
                <w:sz w:val="17"/>
              </w:rPr>
              <w:t>Poste</w:t>
            </w:r>
          </w:p>
        </w:tc>
        <w:tc>
          <w:tcPr>
            <w:tcW w:type="dxa" w:w="2664"/>
            <w:vAlign w:val="top"/>
            <w:shd w:fill="1F4E79"/>
          </w:tcPr>
          <w:p>
            <w:r/>
            <w:r>
              <w:rPr>
                <w:b/>
                <w:color w:val="FFFFFF"/>
                <w:sz w:val="17"/>
              </w:rPr>
              <w:t>Direction / unité</w:t>
            </w:r>
          </w:p>
        </w:tc>
      </w:tr>
      <w:tr>
        <w:tc>
          <w:tcPr>
            <w:tcW w:type="dxa" w:w="2664"/>
            <w:vAlign w:val="top"/>
          </w:tcPr>
          <w:p>
            <w:r/>
            <w:r>
              <w:rPr>
                <w:b w:val="0"/>
                <w:sz w:val="17"/>
              </w:rPr>
              <w:t>DEX</w:t>
            </w:r>
          </w:p>
        </w:tc>
        <w:tc>
          <w:tcPr>
            <w:tcW w:type="dxa" w:w="2664"/>
            <w:vAlign w:val="top"/>
          </w:tcPr>
          <w:p>
            <w:r/>
            <w:r>
              <w:rPr>
                <w:b w:val="0"/>
                <w:sz w:val="17"/>
              </w:rPr>
              <w:t>François Olivier Gosso</w:t>
            </w:r>
          </w:p>
        </w:tc>
        <w:tc>
          <w:tcPr>
            <w:tcW w:type="dxa" w:w="2664"/>
            <w:vAlign w:val="top"/>
          </w:tcPr>
          <w:p>
            <w:r/>
            <w:r>
              <w:rPr>
                <w:b w:val="0"/>
                <w:sz w:val="17"/>
              </w:rPr>
              <w:t>Directeur Exécutif</w:t>
            </w:r>
          </w:p>
        </w:tc>
        <w:tc>
          <w:tcPr>
            <w:tcW w:type="dxa" w:w="2664"/>
            <w:vAlign w:val="top"/>
          </w:tcPr>
          <w:p>
            <w:r/>
            <w:r>
              <w:rPr>
                <w:b w:val="0"/>
                <w:sz w:val="17"/>
              </w:rPr>
              <w:t>Cabinet Direction Exécutive</w:t>
            </w:r>
          </w:p>
        </w:tc>
      </w:tr>
      <w:tr>
        <w:tc>
          <w:tcPr>
            <w:tcW w:type="dxa" w:w="2664"/>
            <w:vAlign w:val="top"/>
          </w:tcPr>
          <w:p>
            <w:r/>
            <w:r>
              <w:rPr>
                <w:b w:val="0"/>
                <w:sz w:val="17"/>
              </w:rPr>
              <w:t>DSMP</w:t>
            </w:r>
          </w:p>
        </w:tc>
        <w:tc>
          <w:tcPr>
            <w:tcW w:type="dxa" w:w="2664"/>
            <w:vAlign w:val="top"/>
          </w:tcPr>
          <w:p>
            <w:r/>
            <w:r>
              <w:rPr>
                <w:b w:val="0"/>
                <w:sz w:val="17"/>
              </w:rPr>
              <w:t>Moussa Seck</w:t>
            </w:r>
          </w:p>
        </w:tc>
        <w:tc>
          <w:tcPr>
            <w:tcW w:type="dxa" w:w="2664"/>
            <w:vAlign w:val="top"/>
          </w:tcPr>
          <w:p>
            <w:r/>
            <w:r>
              <w:rPr>
                <w:b w:val="0"/>
                <w:sz w:val="17"/>
              </w:rPr>
              <w:t>Directeur Services aux Membres et des Programmes</w:t>
            </w:r>
          </w:p>
        </w:tc>
        <w:tc>
          <w:tcPr>
            <w:tcW w:type="dxa" w:w="2664"/>
            <w:vAlign w:val="top"/>
          </w:tcPr>
          <w:p>
            <w:r/>
            <w:r>
              <w:rPr>
                <w:b w:val="0"/>
                <w:sz w:val="17"/>
              </w:rPr>
              <w:t>Direction des Services aux Membres et des Programmes</w:t>
            </w:r>
          </w:p>
        </w:tc>
      </w:tr>
      <w:tr>
        <w:tc>
          <w:tcPr>
            <w:tcW w:type="dxa" w:w="2664"/>
            <w:vAlign w:val="top"/>
          </w:tcPr>
          <w:p>
            <w:r/>
            <w:r>
              <w:rPr>
                <w:b w:val="0"/>
                <w:sz w:val="17"/>
              </w:rPr>
              <w:t>DAF</w:t>
            </w:r>
          </w:p>
        </w:tc>
        <w:tc>
          <w:tcPr>
            <w:tcW w:type="dxa" w:w="2664"/>
            <w:vAlign w:val="top"/>
          </w:tcPr>
          <w:p>
            <w:r/>
            <w:r>
              <w:rPr>
                <w:b w:val="0"/>
                <w:sz w:val="17"/>
              </w:rPr>
              <w:t>Olivier Gnanpa</w:t>
            </w:r>
          </w:p>
        </w:tc>
        <w:tc>
          <w:tcPr>
            <w:tcW w:type="dxa" w:w="2664"/>
            <w:vAlign w:val="top"/>
          </w:tcPr>
          <w:p>
            <w:r/>
            <w:r>
              <w:rPr>
                <w:b w:val="0"/>
                <w:sz w:val="17"/>
              </w:rPr>
              <w:t>Directeur Administration et Finance</w:t>
            </w:r>
          </w:p>
        </w:tc>
        <w:tc>
          <w:tcPr>
            <w:tcW w:type="dxa" w:w="2664"/>
            <w:vAlign w:val="top"/>
          </w:tcPr>
          <w:p>
            <w:r/>
            <w:r>
              <w:rPr>
                <w:b w:val="0"/>
                <w:sz w:val="17"/>
              </w:rPr>
              <w:t>Direction Administrative et Financière</w:t>
            </w:r>
          </w:p>
        </w:tc>
      </w:tr>
      <w:tr>
        <w:tc>
          <w:tcPr>
            <w:tcW w:type="dxa" w:w="2664"/>
            <w:vAlign w:val="top"/>
          </w:tcPr>
          <w:p>
            <w:r/>
            <w:r>
              <w:rPr>
                <w:b w:val="0"/>
                <w:sz w:val="17"/>
              </w:rPr>
              <w:t>CONF</w:t>
            </w:r>
          </w:p>
        </w:tc>
        <w:tc>
          <w:tcPr>
            <w:tcW w:type="dxa" w:w="2664"/>
            <w:vAlign w:val="top"/>
          </w:tcPr>
          <w:p>
            <w:r/>
            <w:r>
              <w:rPr>
                <w:b w:val="0"/>
                <w:sz w:val="17"/>
              </w:rPr>
              <w:t>Christian ZOCLI</w:t>
            </w:r>
          </w:p>
        </w:tc>
        <w:tc>
          <w:tcPr>
            <w:tcW w:type="dxa" w:w="2664"/>
            <w:vAlign w:val="top"/>
          </w:tcPr>
          <w:p>
            <w:r/>
            <w:r>
              <w:rPr>
                <w:b w:val="0"/>
                <w:sz w:val="17"/>
              </w:rPr>
              <w:t>Responsable Conformité &amp; Performance</w:t>
            </w:r>
          </w:p>
        </w:tc>
        <w:tc>
          <w:tcPr>
            <w:tcW w:type="dxa" w:w="2664"/>
            <w:vAlign w:val="top"/>
          </w:tcPr>
          <w:p>
            <w:r/>
            <w:r>
              <w:rPr>
                <w:b w:val="0"/>
                <w:sz w:val="17"/>
              </w:rPr>
              <w:t>Cabinet Direction Exécutive</w:t>
            </w:r>
          </w:p>
        </w:tc>
      </w:tr>
      <w:tr>
        <w:tc>
          <w:tcPr>
            <w:tcW w:type="dxa" w:w="2664"/>
            <w:vAlign w:val="top"/>
          </w:tcPr>
          <w:p>
            <w:r/>
            <w:r>
              <w:rPr>
                <w:b w:val="0"/>
                <w:sz w:val="17"/>
              </w:rPr>
              <w:t>MEAL</w:t>
            </w:r>
          </w:p>
        </w:tc>
        <w:tc>
          <w:tcPr>
            <w:tcW w:type="dxa" w:w="2664"/>
            <w:vAlign w:val="top"/>
          </w:tcPr>
          <w:p>
            <w:r/>
            <w:r>
              <w:rPr>
                <w:b w:val="0"/>
                <w:sz w:val="17"/>
              </w:rPr>
              <w:t>Alexandre KANGA</w:t>
            </w:r>
          </w:p>
        </w:tc>
        <w:tc>
          <w:tcPr>
            <w:tcW w:type="dxa" w:w="2664"/>
            <w:vAlign w:val="top"/>
          </w:tcPr>
          <w:p>
            <w:r/>
            <w:r>
              <w:rPr>
                <w:b w:val="0"/>
                <w:sz w:val="17"/>
              </w:rPr>
              <w:t>Responsable Données et Suivi-évaluation</w:t>
            </w:r>
          </w:p>
        </w:tc>
        <w:tc>
          <w:tcPr>
            <w:tcW w:type="dxa" w:w="2664"/>
            <w:vAlign w:val="top"/>
          </w:tcPr>
          <w:p>
            <w:r/>
            <w:r>
              <w:rPr>
                <w:b w:val="0"/>
                <w:sz w:val="17"/>
              </w:rPr>
              <w:t>Cabinet Direction Exécutive</w:t>
            </w:r>
          </w:p>
        </w:tc>
      </w:tr>
      <w:tr>
        <w:tc>
          <w:tcPr>
            <w:tcW w:type="dxa" w:w="2664"/>
            <w:vAlign w:val="top"/>
          </w:tcPr>
          <w:p>
            <w:r/>
            <w:r>
              <w:rPr>
                <w:b w:val="0"/>
                <w:sz w:val="17"/>
              </w:rPr>
              <w:t>NUM</w:t>
            </w:r>
          </w:p>
        </w:tc>
        <w:tc>
          <w:tcPr>
            <w:tcW w:type="dxa" w:w="2664"/>
            <w:vAlign w:val="top"/>
          </w:tcPr>
          <w:p>
            <w:r/>
            <w:r>
              <w:rPr>
                <w:b w:val="0"/>
                <w:sz w:val="17"/>
              </w:rPr>
              <w:t>Nicaise KOUAKOU</w:t>
            </w:r>
          </w:p>
        </w:tc>
        <w:tc>
          <w:tcPr>
            <w:tcW w:type="dxa" w:w="2664"/>
            <w:vAlign w:val="top"/>
          </w:tcPr>
          <w:p>
            <w:r/>
            <w:r>
              <w:rPr>
                <w:b w:val="0"/>
                <w:sz w:val="17"/>
              </w:rPr>
              <w:t>Responsable Développement Numérique et Innovation</w:t>
            </w:r>
          </w:p>
        </w:tc>
        <w:tc>
          <w:tcPr>
            <w:tcW w:type="dxa" w:w="2664"/>
            <w:vAlign w:val="top"/>
          </w:tcPr>
          <w:p>
            <w:r/>
            <w:r>
              <w:rPr>
                <w:b w:val="0"/>
                <w:sz w:val="17"/>
              </w:rPr>
              <w:t>Cabinet Direction Exécutive</w:t>
            </w:r>
          </w:p>
        </w:tc>
      </w:tr>
      <w:tr>
        <w:tc>
          <w:tcPr>
            <w:tcW w:type="dxa" w:w="2664"/>
            <w:vAlign w:val="top"/>
          </w:tcPr>
          <w:p>
            <w:r/>
            <w:r>
              <w:rPr>
                <w:b w:val="0"/>
                <w:sz w:val="17"/>
              </w:rPr>
              <w:t>COM</w:t>
            </w:r>
          </w:p>
        </w:tc>
        <w:tc>
          <w:tcPr>
            <w:tcW w:type="dxa" w:w="2664"/>
            <w:vAlign w:val="top"/>
          </w:tcPr>
          <w:p>
            <w:r/>
            <w:r>
              <w:rPr>
                <w:b w:val="0"/>
                <w:sz w:val="17"/>
              </w:rPr>
              <w:t>Stephanie Nzickonan</w:t>
            </w:r>
          </w:p>
        </w:tc>
        <w:tc>
          <w:tcPr>
            <w:tcW w:type="dxa" w:w="2664"/>
            <w:vAlign w:val="top"/>
          </w:tcPr>
          <w:p>
            <w:r/>
            <w:r>
              <w:rPr>
                <w:b w:val="0"/>
                <w:sz w:val="17"/>
              </w:rPr>
              <w:t>Responsable Communication</w:t>
            </w:r>
          </w:p>
        </w:tc>
        <w:tc>
          <w:tcPr>
            <w:tcW w:type="dxa" w:w="2664"/>
            <w:vAlign w:val="top"/>
          </w:tcPr>
          <w:p>
            <w:r/>
            <w:r>
              <w:rPr>
                <w:b w:val="0"/>
                <w:sz w:val="17"/>
              </w:rPr>
              <w:t>Cabinet Direction Exécutive</w:t>
            </w:r>
          </w:p>
        </w:tc>
      </w:tr>
      <w:tr>
        <w:tc>
          <w:tcPr>
            <w:tcW w:type="dxa" w:w="2664"/>
            <w:vAlign w:val="top"/>
          </w:tcPr>
          <w:p>
            <w:r/>
            <w:r>
              <w:rPr>
                <w:b w:val="0"/>
                <w:sz w:val="17"/>
              </w:rPr>
              <w:t>ADX</w:t>
            </w:r>
          </w:p>
        </w:tc>
        <w:tc>
          <w:tcPr>
            <w:tcW w:type="dxa" w:w="2664"/>
            <w:vAlign w:val="top"/>
          </w:tcPr>
          <w:p>
            <w:r/>
            <w:r>
              <w:rPr>
                <w:b w:val="0"/>
                <w:sz w:val="17"/>
              </w:rPr>
              <w:t>Mariam Ba Coulibaly</w:t>
            </w:r>
          </w:p>
        </w:tc>
        <w:tc>
          <w:tcPr>
            <w:tcW w:type="dxa" w:w="2664"/>
            <w:vAlign w:val="top"/>
          </w:tcPr>
          <w:p>
            <w:r/>
            <w:r>
              <w:rPr>
                <w:b w:val="0"/>
                <w:sz w:val="17"/>
              </w:rPr>
              <w:t>Assistante du Directeur Exécutif</w:t>
            </w:r>
          </w:p>
        </w:tc>
        <w:tc>
          <w:tcPr>
            <w:tcW w:type="dxa" w:w="2664"/>
            <w:vAlign w:val="top"/>
          </w:tcPr>
          <w:p>
            <w:r/>
            <w:r>
              <w:rPr>
                <w:b w:val="0"/>
                <w:sz w:val="17"/>
              </w:rPr>
              <w:t>Cabinet Direction Exécutive</w:t>
            </w:r>
          </w:p>
        </w:tc>
      </w:tr>
      <w:tr>
        <w:tc>
          <w:tcPr>
            <w:tcW w:type="dxa" w:w="2664"/>
            <w:vAlign w:val="top"/>
          </w:tcPr>
          <w:p>
            <w:r/>
            <w:r>
              <w:rPr>
                <w:b w:val="0"/>
                <w:sz w:val="17"/>
              </w:rPr>
              <w:t>ASS</w:t>
            </w:r>
          </w:p>
        </w:tc>
        <w:tc>
          <w:tcPr>
            <w:tcW w:type="dxa" w:w="2664"/>
            <w:vAlign w:val="top"/>
          </w:tcPr>
          <w:p>
            <w:r/>
            <w:r>
              <w:rPr>
                <w:b w:val="0"/>
                <w:sz w:val="17"/>
              </w:rPr>
              <w:t>Valentin Yao</w:t>
            </w:r>
          </w:p>
        </w:tc>
        <w:tc>
          <w:tcPr>
            <w:tcW w:type="dxa" w:w="2664"/>
            <w:vAlign w:val="top"/>
          </w:tcPr>
          <w:p>
            <w:r/>
            <w:r>
              <w:rPr>
                <w:b w:val="0"/>
                <w:sz w:val="17"/>
              </w:rPr>
              <w:t>Coordonnateur Senior Assainissement</w:t>
            </w:r>
          </w:p>
        </w:tc>
        <w:tc>
          <w:tcPr>
            <w:tcW w:type="dxa" w:w="2664"/>
            <w:vAlign w:val="top"/>
          </w:tcPr>
          <w:p>
            <w:r/>
            <w:r>
              <w:rPr>
                <w:b w:val="0"/>
                <w:sz w:val="17"/>
              </w:rPr>
              <w:t>Direction des Services aux Membres et des Programmes</w:t>
            </w:r>
          </w:p>
        </w:tc>
      </w:tr>
      <w:tr>
        <w:tc>
          <w:tcPr>
            <w:tcW w:type="dxa" w:w="2664"/>
            <w:vAlign w:val="top"/>
          </w:tcPr>
          <w:p>
            <w:r/>
            <w:r>
              <w:rPr>
                <w:b w:val="0"/>
                <w:sz w:val="17"/>
              </w:rPr>
              <w:t>EAU</w:t>
            </w:r>
          </w:p>
        </w:tc>
        <w:tc>
          <w:tcPr>
            <w:tcW w:type="dxa" w:w="2664"/>
            <w:vAlign w:val="top"/>
          </w:tcPr>
          <w:p>
            <w:r/>
            <w:r>
              <w:rPr>
                <w:b w:val="0"/>
                <w:sz w:val="17"/>
              </w:rPr>
              <w:t>Dr Hemez Kouassi</w:t>
            </w:r>
          </w:p>
        </w:tc>
        <w:tc>
          <w:tcPr>
            <w:tcW w:type="dxa" w:w="2664"/>
            <w:vAlign w:val="top"/>
          </w:tcPr>
          <w:p>
            <w:r/>
            <w:r>
              <w:rPr>
                <w:b w:val="0"/>
                <w:sz w:val="17"/>
              </w:rPr>
              <w:t>Coordonnateur Eau</w:t>
            </w:r>
          </w:p>
        </w:tc>
        <w:tc>
          <w:tcPr>
            <w:tcW w:type="dxa" w:w="2664"/>
            <w:vAlign w:val="top"/>
          </w:tcPr>
          <w:p>
            <w:r/>
            <w:r>
              <w:rPr>
                <w:b w:val="0"/>
                <w:sz w:val="17"/>
              </w:rPr>
              <w:t>Direction des Services aux Membres et des Programmes</w:t>
            </w:r>
          </w:p>
        </w:tc>
      </w:tr>
      <w:tr>
        <w:tc>
          <w:tcPr>
            <w:tcW w:type="dxa" w:w="2664"/>
            <w:vAlign w:val="top"/>
          </w:tcPr>
          <w:p>
            <w:r/>
            <w:r>
              <w:rPr>
                <w:b w:val="0"/>
                <w:sz w:val="17"/>
              </w:rPr>
              <w:t>GEN</w:t>
            </w:r>
          </w:p>
        </w:tc>
        <w:tc>
          <w:tcPr>
            <w:tcW w:type="dxa" w:w="2664"/>
            <w:vAlign w:val="top"/>
          </w:tcPr>
          <w:p>
            <w:r/>
            <w:r>
              <w:rPr>
                <w:b w:val="0"/>
                <w:sz w:val="17"/>
              </w:rPr>
              <w:t>Dr Leticia Ackun</w:t>
            </w:r>
          </w:p>
        </w:tc>
        <w:tc>
          <w:tcPr>
            <w:tcW w:type="dxa" w:w="2664"/>
            <w:vAlign w:val="top"/>
          </w:tcPr>
          <w:p>
            <w:r/>
            <w:r>
              <w:rPr>
                <w:b w:val="0"/>
                <w:sz w:val="17"/>
              </w:rPr>
              <w:t>Coordonnatrice Senior Genre et Réseaux</w:t>
            </w:r>
          </w:p>
        </w:tc>
        <w:tc>
          <w:tcPr>
            <w:tcW w:type="dxa" w:w="2664"/>
            <w:vAlign w:val="top"/>
          </w:tcPr>
          <w:p>
            <w:r/>
            <w:r>
              <w:rPr>
                <w:b w:val="0"/>
                <w:sz w:val="17"/>
              </w:rPr>
              <w:t>Direction des Services aux Membres et des Programmes</w:t>
            </w:r>
          </w:p>
        </w:tc>
      </w:tr>
      <w:tr>
        <w:tc>
          <w:tcPr>
            <w:tcW w:type="dxa" w:w="2664"/>
            <w:vAlign w:val="top"/>
          </w:tcPr>
          <w:p>
            <w:r/>
            <w:r>
              <w:rPr>
                <w:b w:val="0"/>
                <w:sz w:val="17"/>
              </w:rPr>
              <w:t>KNOW</w:t>
            </w:r>
          </w:p>
        </w:tc>
        <w:tc>
          <w:tcPr>
            <w:tcW w:type="dxa" w:w="2664"/>
            <w:vAlign w:val="top"/>
          </w:tcPr>
          <w:p>
            <w:r/>
            <w:r>
              <w:rPr>
                <w:b w:val="0"/>
                <w:sz w:val="17"/>
              </w:rPr>
              <w:t>Djalia Umutangampundu</w:t>
            </w:r>
          </w:p>
        </w:tc>
        <w:tc>
          <w:tcPr>
            <w:tcW w:type="dxa" w:w="2664"/>
            <w:vAlign w:val="top"/>
          </w:tcPr>
          <w:p>
            <w:r/>
            <w:r>
              <w:rPr>
                <w:b w:val="0"/>
                <w:sz w:val="17"/>
              </w:rPr>
              <w:t>Responsable projets, gestion et partage de connaissances</w:t>
            </w:r>
          </w:p>
        </w:tc>
        <w:tc>
          <w:tcPr>
            <w:tcW w:type="dxa" w:w="2664"/>
            <w:vAlign w:val="top"/>
          </w:tcPr>
          <w:p>
            <w:r/>
            <w:r>
              <w:rPr>
                <w:b w:val="0"/>
                <w:sz w:val="17"/>
              </w:rPr>
              <w:t>Direction des Services aux Membres et des Programmes</w:t>
            </w:r>
          </w:p>
        </w:tc>
      </w:tr>
      <w:tr>
        <w:tc>
          <w:tcPr>
            <w:tcW w:type="dxa" w:w="2664"/>
            <w:vAlign w:val="top"/>
          </w:tcPr>
          <w:p>
            <w:r/>
            <w:r>
              <w:rPr>
                <w:b w:val="0"/>
                <w:sz w:val="17"/>
              </w:rPr>
              <w:t>MEMB</w:t>
            </w:r>
          </w:p>
        </w:tc>
        <w:tc>
          <w:tcPr>
            <w:tcW w:type="dxa" w:w="2664"/>
            <w:vAlign w:val="top"/>
          </w:tcPr>
          <w:p>
            <w:r/>
            <w:r>
              <w:rPr>
                <w:b w:val="0"/>
                <w:sz w:val="17"/>
              </w:rPr>
              <w:t>Micheline Lawson</w:t>
            </w:r>
          </w:p>
        </w:tc>
        <w:tc>
          <w:tcPr>
            <w:tcW w:type="dxa" w:w="2664"/>
            <w:vAlign w:val="top"/>
          </w:tcPr>
          <w:p>
            <w:r/>
            <w:r>
              <w:rPr>
                <w:b w:val="0"/>
                <w:sz w:val="17"/>
              </w:rPr>
              <w:t>Responsable événements et services aux membres</w:t>
            </w:r>
          </w:p>
        </w:tc>
        <w:tc>
          <w:tcPr>
            <w:tcW w:type="dxa" w:w="2664"/>
            <w:vAlign w:val="top"/>
          </w:tcPr>
          <w:p>
            <w:r/>
            <w:r>
              <w:rPr>
                <w:b w:val="0"/>
                <w:sz w:val="17"/>
              </w:rPr>
              <w:t>Direction des Services aux Membres et des Programmes</w:t>
            </w:r>
          </w:p>
        </w:tc>
      </w:tr>
      <w:tr>
        <w:tc>
          <w:tcPr>
            <w:tcW w:type="dxa" w:w="2664"/>
            <w:vAlign w:val="top"/>
          </w:tcPr>
          <w:p>
            <w:r/>
            <w:r>
              <w:rPr>
                <w:b w:val="0"/>
                <w:sz w:val="17"/>
              </w:rPr>
              <w:t>SPON</w:t>
            </w:r>
          </w:p>
        </w:tc>
        <w:tc>
          <w:tcPr>
            <w:tcW w:type="dxa" w:w="2664"/>
            <w:vAlign w:val="top"/>
          </w:tcPr>
          <w:p>
            <w:r/>
            <w:r>
              <w:rPr>
                <w:b w:val="0"/>
                <w:sz w:val="17"/>
              </w:rPr>
              <w:t>Kalou Aimé Digbeu</w:t>
            </w:r>
          </w:p>
        </w:tc>
        <w:tc>
          <w:tcPr>
            <w:tcW w:type="dxa" w:w="2664"/>
            <w:vAlign w:val="top"/>
          </w:tcPr>
          <w:p>
            <w:r/>
            <w:r>
              <w:rPr>
                <w:b w:val="0"/>
                <w:sz w:val="17"/>
              </w:rPr>
              <w:t>Responsable Expositions et sponsoring</w:t>
            </w:r>
          </w:p>
        </w:tc>
        <w:tc>
          <w:tcPr>
            <w:tcW w:type="dxa" w:w="2664"/>
            <w:vAlign w:val="top"/>
          </w:tcPr>
          <w:p>
            <w:r/>
            <w:r>
              <w:rPr>
                <w:b w:val="0"/>
                <w:sz w:val="17"/>
              </w:rPr>
              <w:t>Direction des Services aux Membres et des Programmes</w:t>
            </w:r>
          </w:p>
        </w:tc>
      </w:tr>
      <w:tr>
        <w:tc>
          <w:tcPr>
            <w:tcW w:type="dxa" w:w="2664"/>
            <w:vAlign w:val="top"/>
          </w:tcPr>
          <w:p>
            <w:r/>
            <w:r>
              <w:rPr>
                <w:b w:val="0"/>
                <w:sz w:val="17"/>
              </w:rPr>
              <w:t>PROJASS</w:t>
            </w:r>
          </w:p>
        </w:tc>
        <w:tc>
          <w:tcPr>
            <w:tcW w:type="dxa" w:w="2664"/>
            <w:vAlign w:val="top"/>
          </w:tcPr>
          <w:p>
            <w:r/>
            <w:r>
              <w:rPr>
                <w:b w:val="0"/>
                <w:sz w:val="17"/>
              </w:rPr>
              <w:t>Julian Musime</w:t>
            </w:r>
          </w:p>
        </w:tc>
        <w:tc>
          <w:tcPr>
            <w:tcW w:type="dxa" w:w="2664"/>
            <w:vAlign w:val="top"/>
          </w:tcPr>
          <w:p>
            <w:r/>
            <w:r>
              <w:rPr>
                <w:b w:val="0"/>
                <w:sz w:val="17"/>
              </w:rPr>
              <w:t>Chargé de projets assainissement</w:t>
            </w:r>
          </w:p>
        </w:tc>
        <w:tc>
          <w:tcPr>
            <w:tcW w:type="dxa" w:w="2664"/>
            <w:vAlign w:val="top"/>
          </w:tcPr>
          <w:p>
            <w:r/>
            <w:r>
              <w:rPr>
                <w:b w:val="0"/>
                <w:sz w:val="17"/>
              </w:rPr>
              <w:t>Direction des Services aux Membres et des Programmes</w:t>
            </w:r>
          </w:p>
        </w:tc>
      </w:tr>
      <w:tr>
        <w:tc>
          <w:tcPr>
            <w:tcW w:type="dxa" w:w="2664"/>
            <w:vAlign w:val="top"/>
          </w:tcPr>
          <w:p>
            <w:r/>
            <w:r>
              <w:rPr>
                <w:b w:val="0"/>
                <w:sz w:val="17"/>
              </w:rPr>
              <w:t>ASM</w:t>
            </w:r>
          </w:p>
        </w:tc>
        <w:tc>
          <w:tcPr>
            <w:tcW w:type="dxa" w:w="2664"/>
            <w:vAlign w:val="top"/>
          </w:tcPr>
          <w:p>
            <w:r/>
            <w:r>
              <w:rPr>
                <w:b w:val="0"/>
                <w:sz w:val="17"/>
              </w:rPr>
              <w:t>Khady Dankoulou</w:t>
            </w:r>
          </w:p>
        </w:tc>
        <w:tc>
          <w:tcPr>
            <w:tcW w:type="dxa" w:w="2664"/>
            <w:vAlign w:val="top"/>
          </w:tcPr>
          <w:p>
            <w:r/>
            <w:r>
              <w:rPr>
                <w:b w:val="0"/>
                <w:sz w:val="17"/>
              </w:rPr>
              <w:t>Assistante DSMP Services aux Membres</w:t>
            </w:r>
          </w:p>
        </w:tc>
        <w:tc>
          <w:tcPr>
            <w:tcW w:type="dxa" w:w="2664"/>
            <w:vAlign w:val="top"/>
          </w:tcPr>
          <w:p>
            <w:r/>
            <w:r>
              <w:rPr>
                <w:b w:val="0"/>
                <w:sz w:val="17"/>
              </w:rPr>
              <w:t>Direction des Services aux Membres et des Programmes</w:t>
            </w:r>
          </w:p>
        </w:tc>
      </w:tr>
      <w:tr>
        <w:tc>
          <w:tcPr>
            <w:tcW w:type="dxa" w:w="2664"/>
            <w:vAlign w:val="top"/>
          </w:tcPr>
          <w:p>
            <w:r/>
            <w:r>
              <w:rPr>
                <w:b w:val="0"/>
                <w:sz w:val="17"/>
              </w:rPr>
              <w:t>ASPP</w:t>
            </w:r>
          </w:p>
        </w:tc>
        <w:tc>
          <w:tcPr>
            <w:tcW w:type="dxa" w:w="2664"/>
            <w:vAlign w:val="top"/>
          </w:tcPr>
          <w:p>
            <w:r/>
            <w:r>
              <w:rPr>
                <w:b w:val="0"/>
                <w:sz w:val="17"/>
              </w:rPr>
              <w:t>Benedicte Kanga</w:t>
            </w:r>
          </w:p>
        </w:tc>
        <w:tc>
          <w:tcPr>
            <w:tcW w:type="dxa" w:w="2664"/>
            <w:vAlign w:val="top"/>
          </w:tcPr>
          <w:p>
            <w:r/>
            <w:r>
              <w:rPr>
                <w:b w:val="0"/>
                <w:sz w:val="17"/>
              </w:rPr>
              <w:t>Assistante DSMP Programmes, Projets et Partenariats</w:t>
            </w:r>
          </w:p>
        </w:tc>
        <w:tc>
          <w:tcPr>
            <w:tcW w:type="dxa" w:w="2664"/>
            <w:vAlign w:val="top"/>
          </w:tcPr>
          <w:p>
            <w:r/>
            <w:r>
              <w:rPr>
                <w:b w:val="0"/>
                <w:sz w:val="17"/>
              </w:rPr>
              <w:t>Direction des Services aux Membres et des Programmes</w:t>
            </w:r>
          </w:p>
        </w:tc>
      </w:tr>
      <w:tr>
        <w:tc>
          <w:tcPr>
            <w:tcW w:type="dxa" w:w="2664"/>
            <w:vAlign w:val="top"/>
          </w:tcPr>
          <w:p>
            <w:r/>
            <w:r>
              <w:rPr>
                <w:b w:val="0"/>
                <w:sz w:val="17"/>
              </w:rPr>
              <w:t>RH</w:t>
            </w:r>
          </w:p>
        </w:tc>
        <w:tc>
          <w:tcPr>
            <w:tcW w:type="dxa" w:w="2664"/>
            <w:vAlign w:val="top"/>
          </w:tcPr>
          <w:p>
            <w:r/>
            <w:r>
              <w:rPr>
                <w:b w:val="0"/>
                <w:sz w:val="17"/>
              </w:rPr>
              <w:t>Emmanuel Kouadio</w:t>
            </w:r>
          </w:p>
        </w:tc>
        <w:tc>
          <w:tcPr>
            <w:tcW w:type="dxa" w:w="2664"/>
            <w:vAlign w:val="top"/>
          </w:tcPr>
          <w:p>
            <w:r/>
            <w:r>
              <w:rPr>
                <w:b w:val="0"/>
                <w:sz w:val="17"/>
              </w:rPr>
              <w:t>Responsable des ressources humaines</w:t>
            </w:r>
          </w:p>
        </w:tc>
        <w:tc>
          <w:tcPr>
            <w:tcW w:type="dxa" w:w="2664"/>
            <w:vAlign w:val="top"/>
          </w:tcPr>
          <w:p>
            <w:r/>
            <w:r>
              <w:rPr>
                <w:b w:val="0"/>
                <w:sz w:val="17"/>
              </w:rPr>
              <w:t>Direction Administrative et Financière</w:t>
            </w:r>
          </w:p>
        </w:tc>
      </w:tr>
      <w:tr>
        <w:tc>
          <w:tcPr>
            <w:tcW w:type="dxa" w:w="2664"/>
            <w:vAlign w:val="top"/>
          </w:tcPr>
          <w:p>
            <w:r/>
            <w:r>
              <w:rPr>
                <w:b w:val="0"/>
                <w:sz w:val="17"/>
              </w:rPr>
              <w:t>ARH</w:t>
            </w:r>
          </w:p>
        </w:tc>
        <w:tc>
          <w:tcPr>
            <w:tcW w:type="dxa" w:w="2664"/>
            <w:vAlign w:val="top"/>
          </w:tcPr>
          <w:p>
            <w:r/>
            <w:r>
              <w:rPr>
                <w:b w:val="0"/>
                <w:sz w:val="17"/>
              </w:rPr>
              <w:t>Corine Assienin</w:t>
            </w:r>
          </w:p>
        </w:tc>
        <w:tc>
          <w:tcPr>
            <w:tcW w:type="dxa" w:w="2664"/>
            <w:vAlign w:val="top"/>
          </w:tcPr>
          <w:p>
            <w:r/>
            <w:r>
              <w:rPr>
                <w:b w:val="0"/>
                <w:sz w:val="17"/>
              </w:rPr>
              <w:t>Assistante Ressources Humaines</w:t>
            </w:r>
          </w:p>
        </w:tc>
        <w:tc>
          <w:tcPr>
            <w:tcW w:type="dxa" w:w="2664"/>
            <w:vAlign w:val="top"/>
          </w:tcPr>
          <w:p>
            <w:r/>
            <w:r>
              <w:rPr>
                <w:b w:val="0"/>
                <w:sz w:val="17"/>
              </w:rPr>
              <w:t>Direction Administrative et Financière</w:t>
            </w:r>
          </w:p>
        </w:tc>
      </w:tr>
      <w:tr>
        <w:tc>
          <w:tcPr>
            <w:tcW w:type="dxa" w:w="2664"/>
            <w:vAlign w:val="top"/>
          </w:tcPr>
          <w:p>
            <w:r/>
            <w:r>
              <w:rPr>
                <w:b w:val="0"/>
                <w:sz w:val="17"/>
              </w:rPr>
              <w:t>FIN</w:t>
            </w:r>
          </w:p>
        </w:tc>
        <w:tc>
          <w:tcPr>
            <w:tcW w:type="dxa" w:w="2664"/>
            <w:vAlign w:val="top"/>
          </w:tcPr>
          <w:p>
            <w:r/>
            <w:r>
              <w:rPr>
                <w:b w:val="0"/>
                <w:sz w:val="17"/>
              </w:rPr>
              <w:t>Sonia Nguessan</w:t>
            </w:r>
          </w:p>
        </w:tc>
        <w:tc>
          <w:tcPr>
            <w:tcW w:type="dxa" w:w="2664"/>
            <w:vAlign w:val="top"/>
          </w:tcPr>
          <w:p>
            <w:r/>
            <w:r>
              <w:rPr>
                <w:b w:val="0"/>
                <w:sz w:val="17"/>
              </w:rPr>
              <w:t>Responsable comptable et finance</w:t>
            </w:r>
          </w:p>
        </w:tc>
        <w:tc>
          <w:tcPr>
            <w:tcW w:type="dxa" w:w="2664"/>
            <w:vAlign w:val="top"/>
          </w:tcPr>
          <w:p>
            <w:r/>
            <w:r>
              <w:rPr>
                <w:b w:val="0"/>
                <w:sz w:val="17"/>
              </w:rPr>
              <w:t>Direction Administrative et Financière</w:t>
            </w:r>
          </w:p>
        </w:tc>
      </w:tr>
      <w:tr>
        <w:tc>
          <w:tcPr>
            <w:tcW w:type="dxa" w:w="2664"/>
            <w:vAlign w:val="top"/>
          </w:tcPr>
          <w:p>
            <w:r/>
            <w:r>
              <w:rPr>
                <w:b w:val="0"/>
                <w:sz w:val="17"/>
              </w:rPr>
              <w:t>TRES</w:t>
            </w:r>
          </w:p>
        </w:tc>
        <w:tc>
          <w:tcPr>
            <w:tcW w:type="dxa" w:w="2664"/>
            <w:vAlign w:val="top"/>
          </w:tcPr>
          <w:p>
            <w:r/>
            <w:r>
              <w:rPr>
                <w:b w:val="0"/>
                <w:sz w:val="17"/>
              </w:rPr>
              <w:t>Vanessa Tihi</w:t>
            </w:r>
          </w:p>
        </w:tc>
        <w:tc>
          <w:tcPr>
            <w:tcW w:type="dxa" w:w="2664"/>
            <w:vAlign w:val="top"/>
          </w:tcPr>
          <w:p>
            <w:r/>
            <w:r>
              <w:rPr>
                <w:b w:val="0"/>
                <w:sz w:val="17"/>
              </w:rPr>
              <w:t>Comptable Senior en charge de la Trésorerie</w:t>
            </w:r>
          </w:p>
        </w:tc>
        <w:tc>
          <w:tcPr>
            <w:tcW w:type="dxa" w:w="2664"/>
            <w:vAlign w:val="top"/>
          </w:tcPr>
          <w:p>
            <w:r/>
            <w:r>
              <w:rPr>
                <w:b w:val="0"/>
                <w:sz w:val="17"/>
              </w:rPr>
              <w:t>Direction Administrative et Financière</w:t>
            </w:r>
          </w:p>
        </w:tc>
      </w:tr>
      <w:tr>
        <w:tc>
          <w:tcPr>
            <w:tcW w:type="dxa" w:w="2664"/>
            <w:vAlign w:val="top"/>
          </w:tcPr>
          <w:p>
            <w:r/>
            <w:r>
              <w:rPr>
                <w:b w:val="0"/>
                <w:sz w:val="17"/>
              </w:rPr>
              <w:t>ACF</w:t>
            </w:r>
          </w:p>
        </w:tc>
        <w:tc>
          <w:tcPr>
            <w:tcW w:type="dxa" w:w="2664"/>
            <w:vAlign w:val="top"/>
          </w:tcPr>
          <w:p>
            <w:r/>
            <w:r>
              <w:rPr>
                <w:b w:val="0"/>
                <w:sz w:val="17"/>
              </w:rPr>
              <w:t>Franc Mabio</w:t>
            </w:r>
          </w:p>
        </w:tc>
        <w:tc>
          <w:tcPr>
            <w:tcW w:type="dxa" w:w="2664"/>
            <w:vAlign w:val="top"/>
          </w:tcPr>
          <w:p>
            <w:r/>
            <w:r>
              <w:rPr>
                <w:b w:val="0"/>
                <w:sz w:val="17"/>
              </w:rPr>
              <w:t>Assistant comptable</w:t>
            </w:r>
          </w:p>
        </w:tc>
        <w:tc>
          <w:tcPr>
            <w:tcW w:type="dxa" w:w="2664"/>
            <w:vAlign w:val="top"/>
          </w:tcPr>
          <w:p>
            <w:r/>
            <w:r>
              <w:rPr>
                <w:b w:val="0"/>
                <w:sz w:val="17"/>
              </w:rPr>
              <w:t>Direction Administrative et Financière</w:t>
            </w:r>
          </w:p>
        </w:tc>
      </w:tr>
      <w:tr>
        <w:tc>
          <w:tcPr>
            <w:tcW w:type="dxa" w:w="2664"/>
            <w:vAlign w:val="top"/>
          </w:tcPr>
          <w:p>
            <w:r/>
            <w:r>
              <w:rPr>
                <w:b w:val="0"/>
                <w:sz w:val="17"/>
              </w:rPr>
              <w:t>ATRES</w:t>
            </w:r>
          </w:p>
        </w:tc>
        <w:tc>
          <w:tcPr>
            <w:tcW w:type="dxa" w:w="2664"/>
            <w:vAlign w:val="top"/>
          </w:tcPr>
          <w:p>
            <w:r/>
            <w:r>
              <w:rPr>
                <w:b w:val="0"/>
                <w:sz w:val="17"/>
              </w:rPr>
              <w:t>Edwidge Gueu</w:t>
            </w:r>
          </w:p>
        </w:tc>
        <w:tc>
          <w:tcPr>
            <w:tcW w:type="dxa" w:w="2664"/>
            <w:vAlign w:val="top"/>
          </w:tcPr>
          <w:p>
            <w:r/>
            <w:r>
              <w:rPr>
                <w:b w:val="0"/>
                <w:sz w:val="17"/>
              </w:rPr>
              <w:t>Assistante comptable volet trésorerie</w:t>
            </w:r>
          </w:p>
        </w:tc>
        <w:tc>
          <w:tcPr>
            <w:tcW w:type="dxa" w:w="2664"/>
            <w:vAlign w:val="top"/>
          </w:tcPr>
          <w:p>
            <w:r/>
            <w:r>
              <w:rPr>
                <w:b w:val="0"/>
                <w:sz w:val="17"/>
              </w:rPr>
              <w:t>Direction Administrative et Financière</w:t>
            </w:r>
          </w:p>
        </w:tc>
      </w:tr>
      <w:tr>
        <w:tc>
          <w:tcPr>
            <w:tcW w:type="dxa" w:w="2664"/>
            <w:vAlign w:val="top"/>
          </w:tcPr>
          <w:p>
            <w:r/>
            <w:r>
              <w:rPr>
                <w:b w:val="0"/>
                <w:sz w:val="17"/>
              </w:rPr>
              <w:t>AGR</w:t>
            </w:r>
          </w:p>
        </w:tc>
        <w:tc>
          <w:tcPr>
            <w:tcW w:type="dxa" w:w="2664"/>
            <w:vAlign w:val="top"/>
          </w:tcPr>
          <w:p>
            <w:r/>
            <w:r>
              <w:rPr>
                <w:b w:val="0"/>
                <w:sz w:val="17"/>
              </w:rPr>
              <w:t>Théodora Kouakou</w:t>
            </w:r>
          </w:p>
        </w:tc>
        <w:tc>
          <w:tcPr>
            <w:tcW w:type="dxa" w:w="2664"/>
            <w:vAlign w:val="top"/>
          </w:tcPr>
          <w:p>
            <w:r/>
            <w:r>
              <w:rPr>
                <w:b w:val="0"/>
                <w:sz w:val="17"/>
              </w:rPr>
              <w:t>Assistante comptable services aux membres et AGR</w:t>
            </w:r>
          </w:p>
        </w:tc>
        <w:tc>
          <w:tcPr>
            <w:tcW w:type="dxa" w:w="2664"/>
            <w:vAlign w:val="top"/>
          </w:tcPr>
          <w:p>
            <w:r/>
            <w:r>
              <w:rPr>
                <w:b w:val="0"/>
                <w:sz w:val="17"/>
              </w:rPr>
              <w:t>Direction Administrative et Financière</w:t>
            </w:r>
          </w:p>
        </w:tc>
      </w:tr>
      <w:tr>
        <w:tc>
          <w:tcPr>
            <w:tcW w:type="dxa" w:w="2664"/>
            <w:vAlign w:val="top"/>
          </w:tcPr>
          <w:p>
            <w:r/>
            <w:r>
              <w:rPr>
                <w:b w:val="0"/>
                <w:sz w:val="17"/>
              </w:rPr>
              <w:t>LOG</w:t>
            </w:r>
          </w:p>
        </w:tc>
        <w:tc>
          <w:tcPr>
            <w:tcW w:type="dxa" w:w="2664"/>
            <w:vAlign w:val="top"/>
          </w:tcPr>
          <w:p>
            <w:r/>
            <w:r>
              <w:rPr>
                <w:b w:val="0"/>
                <w:sz w:val="17"/>
              </w:rPr>
              <w:t>Amos Yao</w:t>
            </w:r>
          </w:p>
        </w:tc>
        <w:tc>
          <w:tcPr>
            <w:tcW w:type="dxa" w:w="2664"/>
            <w:vAlign w:val="top"/>
          </w:tcPr>
          <w:p>
            <w:r/>
            <w:r>
              <w:rPr>
                <w:b w:val="0"/>
                <w:sz w:val="17"/>
              </w:rPr>
              <w:t>Responsable Logistique et Achats</w:t>
            </w:r>
          </w:p>
        </w:tc>
        <w:tc>
          <w:tcPr>
            <w:tcW w:type="dxa" w:w="2664"/>
            <w:vAlign w:val="top"/>
          </w:tcPr>
          <w:p>
            <w:r/>
            <w:r>
              <w:rPr>
                <w:b w:val="0"/>
                <w:sz w:val="17"/>
              </w:rPr>
              <w:t>Direction Administrative et Financière</w:t>
            </w:r>
          </w:p>
        </w:tc>
      </w:tr>
      <w:tr>
        <w:tc>
          <w:tcPr>
            <w:tcW w:type="dxa" w:w="2664"/>
            <w:vAlign w:val="top"/>
          </w:tcPr>
          <w:p>
            <w:r/>
            <w:r>
              <w:rPr>
                <w:b w:val="0"/>
                <w:sz w:val="17"/>
              </w:rPr>
              <w:t>CLOG</w:t>
            </w:r>
          </w:p>
        </w:tc>
        <w:tc>
          <w:tcPr>
            <w:tcW w:type="dxa" w:w="2664"/>
            <w:vAlign w:val="top"/>
          </w:tcPr>
          <w:p>
            <w:r/>
            <w:r>
              <w:rPr>
                <w:b w:val="0"/>
                <w:sz w:val="17"/>
              </w:rPr>
              <w:t>Abdoulaye Fadiga</w:t>
            </w:r>
          </w:p>
        </w:tc>
        <w:tc>
          <w:tcPr>
            <w:tcW w:type="dxa" w:w="2664"/>
            <w:vAlign w:val="top"/>
          </w:tcPr>
          <w:p>
            <w:r/>
            <w:r>
              <w:rPr>
                <w:b w:val="0"/>
                <w:sz w:val="17"/>
              </w:rPr>
              <w:t>Chargé Logistique et Achats</w:t>
            </w:r>
          </w:p>
        </w:tc>
        <w:tc>
          <w:tcPr>
            <w:tcW w:type="dxa" w:w="2664"/>
            <w:vAlign w:val="top"/>
          </w:tcPr>
          <w:p>
            <w:r/>
            <w:r>
              <w:rPr>
                <w:b w:val="0"/>
                <w:sz w:val="17"/>
              </w:rPr>
              <w:t>Direction Administrative et Financière</w:t>
            </w:r>
          </w:p>
        </w:tc>
      </w:tr>
      <w:tr>
        <w:tc>
          <w:tcPr>
            <w:tcW w:type="dxa" w:w="2664"/>
            <w:vAlign w:val="top"/>
          </w:tcPr>
          <w:p>
            <w:r/>
            <w:r>
              <w:rPr>
                <w:b w:val="0"/>
                <w:sz w:val="17"/>
              </w:rPr>
              <w:t>CHAUF1</w:t>
            </w:r>
          </w:p>
        </w:tc>
        <w:tc>
          <w:tcPr>
            <w:tcW w:type="dxa" w:w="2664"/>
            <w:vAlign w:val="top"/>
          </w:tcPr>
          <w:p>
            <w:r/>
            <w:r>
              <w:rPr>
                <w:b w:val="0"/>
                <w:sz w:val="17"/>
              </w:rPr>
              <w:t>Mathieu Kouakou</w:t>
            </w:r>
          </w:p>
        </w:tc>
        <w:tc>
          <w:tcPr>
            <w:tcW w:type="dxa" w:w="2664"/>
            <w:vAlign w:val="top"/>
          </w:tcPr>
          <w:p>
            <w:r/>
            <w:r>
              <w:rPr>
                <w:b w:val="0"/>
                <w:sz w:val="17"/>
              </w:rPr>
              <w:t>Chauffeur</w:t>
            </w:r>
          </w:p>
        </w:tc>
        <w:tc>
          <w:tcPr>
            <w:tcW w:type="dxa" w:w="2664"/>
            <w:vAlign w:val="top"/>
          </w:tcPr>
          <w:p>
            <w:r/>
            <w:r>
              <w:rPr>
                <w:b w:val="0"/>
                <w:sz w:val="17"/>
              </w:rPr>
              <w:t>Direction Administrative et Financière</w:t>
            </w:r>
          </w:p>
        </w:tc>
      </w:tr>
      <w:tr>
        <w:tc>
          <w:tcPr>
            <w:tcW w:type="dxa" w:w="2664"/>
            <w:vAlign w:val="top"/>
          </w:tcPr>
          <w:p>
            <w:r/>
            <w:r>
              <w:rPr>
                <w:b w:val="0"/>
                <w:sz w:val="17"/>
              </w:rPr>
              <w:t>CHAUF2</w:t>
            </w:r>
          </w:p>
        </w:tc>
        <w:tc>
          <w:tcPr>
            <w:tcW w:type="dxa" w:w="2664"/>
            <w:vAlign w:val="top"/>
          </w:tcPr>
          <w:p>
            <w:r/>
            <w:r>
              <w:rPr>
                <w:b w:val="0"/>
                <w:sz w:val="17"/>
              </w:rPr>
              <w:t>Dominique Diézahi</w:t>
            </w:r>
          </w:p>
        </w:tc>
        <w:tc>
          <w:tcPr>
            <w:tcW w:type="dxa" w:w="2664"/>
            <w:vAlign w:val="top"/>
          </w:tcPr>
          <w:p>
            <w:r/>
            <w:r>
              <w:rPr>
                <w:b w:val="0"/>
                <w:sz w:val="17"/>
              </w:rPr>
              <w:t>Chauffeur</w:t>
            </w:r>
          </w:p>
        </w:tc>
        <w:tc>
          <w:tcPr>
            <w:tcW w:type="dxa" w:w="2664"/>
            <w:vAlign w:val="top"/>
          </w:tcPr>
          <w:p>
            <w:r/>
            <w:r>
              <w:rPr>
                <w:b w:val="0"/>
                <w:sz w:val="17"/>
              </w:rPr>
              <w:t>Direction Administrative et Financière</w:t>
            </w:r>
          </w:p>
        </w:tc>
      </w:tr>
    </w:tbl>
    <w:p/>
    <w:p>
      <w:pPr>
        <w:pStyle w:val="Heading1"/>
      </w:pPr>
      <w:r>
        <w:t>8. Règles CRUD transversales</w:t>
      </w:r>
    </w:p>
    <w:p>
      <w:pPr>
        <w:pStyle w:val="ListBullet"/>
      </w:pPr>
      <w:r>
        <w:t>Chaque entité doit avoir Create, Read list, Read detail, Update, Archive/Soft delete lorsque pertinent.</w:t>
      </w:r>
    </w:p>
    <w:p>
      <w:pPr>
        <w:pStyle w:val="ListBullet"/>
      </w:pPr>
      <w:r>
        <w:t>Les données archivées ne doivent pas apparaître par défaut dans les listes.</w:t>
      </w:r>
    </w:p>
    <w:p>
      <w:pPr>
        <w:pStyle w:val="ListBullet"/>
      </w:pPr>
      <w:r>
        <w:t>Chaque formulaire doit valider les champs obligatoires avant enregistrement.</w:t>
      </w:r>
    </w:p>
    <w:p>
      <w:pPr>
        <w:pStyle w:val="ListBullet"/>
      </w:pPr>
      <w:r>
        <w:t>Chaque route API doit contrôler les permissions.</w:t>
      </w:r>
    </w:p>
    <w:p>
      <w:pPr>
        <w:pStyle w:val="ListBullet"/>
      </w:pPr>
      <w:r>
        <w:t>Chaque action sensible doit alimenter le journal d’audit.</w:t>
      </w:r>
    </w:p>
    <w:p>
      <w:pPr>
        <w:pStyle w:val="ListBullet"/>
      </w:pPr>
      <w:r>
        <w:t>Chaque module doit être testé avec données réelles ou seeds réalistes.</w:t>
      </w:r>
    </w:p>
    <w:p>
      <w:pPr>
        <w:pStyle w:val="ListBullet"/>
      </w:pPr>
      <w:r>
        <w:t>Aucun bouton frontend ne doit exister sans API connectée et testée.</w:t>
      </w:r>
    </w:p>
    <w:p>
      <w:pPr>
        <w:pStyle w:val="ListBullet"/>
      </w:pPr>
      <w:r>
        <w:t>Une activité validée doit être verrouillée sauf réouverture par validateur ou administrateur.</w:t>
      </w:r>
    </w:p>
    <w:p>
      <w:pPr>
        <w:pStyle w:val="Heading1"/>
      </w:pPr>
      <w:r>
        <w:t>9. Statuts et priorités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7"/>
              </w:rPr>
              <w:t>Type</w:t>
            </w:r>
          </w:p>
        </w:tc>
        <w:tc>
          <w:tcPr>
            <w:tcW w:type="dxa" w:w="5328"/>
            <w:vAlign w:val="top"/>
            <w:shd w:fill="1F4E79"/>
          </w:tcPr>
          <w:p>
            <w:r/>
            <w:r>
              <w:rPr>
                <w:b/>
                <w:color w:val="FFFFFF"/>
                <w:sz w:val="17"/>
              </w:rPr>
              <w:t>Valeurs autorisées</w:t>
            </w:r>
          </w:p>
        </w:tc>
      </w:tr>
      <w:tr>
        <w:tc>
          <w:tcPr>
            <w:tcW w:type="dxa" w:w="5328"/>
            <w:vAlign w:val="top"/>
          </w:tcPr>
          <w:p>
            <w:r/>
            <w:r>
              <w:rPr>
                <w:b w:val="0"/>
                <w:sz w:val="17"/>
              </w:rPr>
              <w:t>Statuts des activités</w:t>
            </w:r>
          </w:p>
        </w:tc>
        <w:tc>
          <w:tcPr>
            <w:tcW w:type="dxa" w:w="5328"/>
            <w:vAlign w:val="top"/>
          </w:tcPr>
          <w:p>
            <w:r/>
            <w:r>
              <w:rPr>
                <w:b w:val="0"/>
                <w:sz w:val="17"/>
              </w:rPr>
              <w:t>Non démarré; En cours; Réalisé; En retard; Suspendu; À reprogrammer</w:t>
            </w:r>
          </w:p>
        </w:tc>
      </w:tr>
      <w:tr>
        <w:tc>
          <w:tcPr>
            <w:tcW w:type="dxa" w:w="5328"/>
            <w:vAlign w:val="top"/>
          </w:tcPr>
          <w:p>
            <w:r/>
            <w:r>
              <w:rPr>
                <w:b w:val="0"/>
                <w:sz w:val="17"/>
              </w:rPr>
              <w:t>Priorités</w:t>
            </w:r>
          </w:p>
        </w:tc>
        <w:tc>
          <w:tcPr>
            <w:tcW w:type="dxa" w:w="5328"/>
            <w:vAlign w:val="top"/>
          </w:tcPr>
          <w:p>
            <w:r/>
            <w:r>
              <w:rPr>
                <w:b w:val="0"/>
                <w:sz w:val="17"/>
              </w:rPr>
              <w:t>Haute; Moyenne; Basse</w:t>
            </w:r>
          </w:p>
        </w:tc>
      </w:tr>
      <w:tr>
        <w:tc>
          <w:tcPr>
            <w:tcW w:type="dxa" w:w="5328"/>
            <w:vAlign w:val="top"/>
          </w:tcPr>
          <w:p>
            <w:r/>
            <w:r>
              <w:rPr>
                <w:b w:val="0"/>
                <w:sz w:val="17"/>
              </w:rPr>
              <w:t>Directions</w:t>
            </w:r>
          </w:p>
        </w:tc>
        <w:tc>
          <w:tcPr>
            <w:tcW w:type="dxa" w:w="5328"/>
            <w:vAlign w:val="top"/>
          </w:tcPr>
          <w:p>
            <w:r/>
            <w:r>
              <w:rPr>
                <w:b w:val="0"/>
                <w:sz w:val="17"/>
              </w:rPr>
              <w:t>Cabinet Direction Exécutive; Direction des Services aux Membres et des Programmes; Direction Administrative et Financière</w:t>
            </w:r>
          </w:p>
        </w:tc>
      </w:tr>
    </w:tbl>
    <w:p/>
    <w:p>
      <w:pPr>
        <w:pStyle w:val="Heading1"/>
      </w:pPr>
      <w:r>
        <w:t>10. Champs obligatoires d’une activité PTA</w:t>
      </w:r>
    </w:p>
    <w:tbl>
      <w:tblPr>
        <w:tblStyle w:val="TableGrid"/>
        <w:tblW w:type="auto" w:w="0"/>
        <w:jc w:val="center"/>
        <w:tblLook w:firstColumn="1" w:firstRow="1" w:lastColumn="0" w:lastRow="0" w:noHBand="0" w:noVBand="1" w:val="04A0"/>
      </w:tblPr>
      <w:tblGrid>
        <w:gridCol w:w="10656"/>
      </w:tblGrid>
      <w:tr>
        <w:tc>
          <w:tcPr>
            <w:tcW w:type="dxa" w:w="10656"/>
            <w:vAlign w:val="top"/>
            <w:shd w:fill="1F4E79"/>
          </w:tcPr>
          <w:p>
            <w:r/>
            <w:r>
              <w:rPr>
                <w:b/>
                <w:color w:val="FFFFFF"/>
                <w:sz w:val="17"/>
              </w:rPr>
              <w:t>Champ</w:t>
            </w:r>
          </w:p>
        </w:tc>
      </w:tr>
      <w:tr>
        <w:tc>
          <w:tcPr>
            <w:tcW w:type="dxa" w:w="10656"/>
            <w:vAlign w:val="top"/>
          </w:tcPr>
          <w:p>
            <w:r/>
            <w:r>
              <w:rPr>
                <w:b w:val="0"/>
                <w:sz w:val="17"/>
              </w:rPr>
              <w:t>Code PTA</w:t>
            </w:r>
          </w:p>
        </w:tc>
      </w:tr>
      <w:tr>
        <w:tc>
          <w:tcPr>
            <w:tcW w:type="dxa" w:w="10656"/>
            <w:vAlign w:val="top"/>
          </w:tcPr>
          <w:p>
            <w:r/>
            <w:r>
              <w:rPr>
                <w:b w:val="0"/>
                <w:sz w:val="17"/>
              </w:rPr>
              <w:t>Responsable principal</w:t>
            </w:r>
          </w:p>
        </w:tc>
      </w:tr>
      <w:tr>
        <w:tc>
          <w:tcPr>
            <w:tcW w:type="dxa" w:w="10656"/>
            <w:vAlign w:val="top"/>
          </w:tcPr>
          <w:p>
            <w:r/>
            <w:r>
              <w:rPr>
                <w:b w:val="0"/>
                <w:sz w:val="17"/>
              </w:rPr>
              <w:t>Direction / unité</w:t>
            </w:r>
          </w:p>
        </w:tc>
      </w:tr>
      <w:tr>
        <w:tc>
          <w:tcPr>
            <w:tcW w:type="dxa" w:w="10656"/>
            <w:vAlign w:val="top"/>
          </w:tcPr>
          <w:p>
            <w:r/>
            <w:r>
              <w:rPr>
                <w:b w:val="0"/>
                <w:sz w:val="17"/>
              </w:rPr>
              <w:t>Axe stratégique principal</w:t>
            </w:r>
          </w:p>
        </w:tc>
      </w:tr>
      <w:tr>
        <w:tc>
          <w:tcPr>
            <w:tcW w:type="dxa" w:w="10656"/>
            <w:vAlign w:val="top"/>
          </w:tcPr>
          <w:p>
            <w:r/>
            <w:r>
              <w:rPr>
                <w:b w:val="0"/>
                <w:sz w:val="17"/>
              </w:rPr>
              <w:t>Axe secondaire</w:t>
            </w:r>
          </w:p>
        </w:tc>
      </w:tr>
      <w:tr>
        <w:tc>
          <w:tcPr>
            <w:tcW w:type="dxa" w:w="10656"/>
            <w:vAlign w:val="top"/>
          </w:tcPr>
          <w:p>
            <w:r/>
            <w:r>
              <w:rPr>
                <w:b w:val="0"/>
                <w:sz w:val="17"/>
              </w:rPr>
              <w:t>Domaine ACBF</w:t>
            </w:r>
          </w:p>
        </w:tc>
      </w:tr>
      <w:tr>
        <w:tc>
          <w:tcPr>
            <w:tcW w:type="dxa" w:w="10656"/>
            <w:vAlign w:val="top"/>
          </w:tcPr>
          <w:p>
            <w:r/>
            <w:r>
              <w:rPr>
                <w:b w:val="0"/>
                <w:sz w:val="17"/>
              </w:rPr>
              <w:t>Livrable ACBF associé</w:t>
            </w:r>
          </w:p>
        </w:tc>
      </w:tr>
      <w:tr>
        <w:tc>
          <w:tcPr>
            <w:tcW w:type="dxa" w:w="10656"/>
            <w:vAlign w:val="top"/>
          </w:tcPr>
          <w:p>
            <w:r/>
            <w:r>
              <w:rPr>
                <w:b w:val="0"/>
                <w:sz w:val="17"/>
              </w:rPr>
              <w:t>Objectif annuel</w:t>
            </w:r>
          </w:p>
        </w:tc>
      </w:tr>
      <w:tr>
        <w:tc>
          <w:tcPr>
            <w:tcW w:type="dxa" w:w="10656"/>
            <w:vAlign w:val="top"/>
          </w:tcPr>
          <w:p>
            <w:r/>
            <w:r>
              <w:rPr>
                <w:b w:val="0"/>
                <w:sz w:val="17"/>
              </w:rPr>
              <w:t>Activité PTA</w:t>
            </w:r>
          </w:p>
        </w:tc>
      </w:tr>
      <w:tr>
        <w:tc>
          <w:tcPr>
            <w:tcW w:type="dxa" w:w="10656"/>
            <w:vAlign w:val="top"/>
          </w:tcPr>
          <w:p>
            <w:r/>
            <w:r>
              <w:rPr>
                <w:b w:val="0"/>
                <w:sz w:val="17"/>
              </w:rPr>
              <w:t>Tâches détaillées</w:t>
            </w:r>
          </w:p>
        </w:tc>
      </w:tr>
      <w:tr>
        <w:tc>
          <w:tcPr>
            <w:tcW w:type="dxa" w:w="10656"/>
            <w:vAlign w:val="top"/>
          </w:tcPr>
          <w:p>
            <w:r/>
            <w:r>
              <w:rPr>
                <w:b w:val="0"/>
                <w:sz w:val="17"/>
              </w:rPr>
              <w:t>Livrable attendu</w:t>
            </w:r>
          </w:p>
        </w:tc>
      </w:tr>
      <w:tr>
        <w:tc>
          <w:tcPr>
            <w:tcW w:type="dxa" w:w="10656"/>
            <w:vAlign w:val="top"/>
          </w:tcPr>
          <w:p>
            <w:r/>
            <w:r>
              <w:rPr>
                <w:b w:val="0"/>
                <w:sz w:val="17"/>
              </w:rPr>
              <w:t>Contributeurs</w:t>
            </w:r>
          </w:p>
        </w:tc>
      </w:tr>
      <w:tr>
        <w:tc>
          <w:tcPr>
            <w:tcW w:type="dxa" w:w="10656"/>
            <w:vAlign w:val="top"/>
          </w:tcPr>
          <w:p>
            <w:r/>
            <w:r>
              <w:rPr>
                <w:b w:val="0"/>
                <w:sz w:val="17"/>
              </w:rPr>
              <w:t>Validateur</w:t>
            </w:r>
          </w:p>
        </w:tc>
      </w:tr>
      <w:tr>
        <w:tc>
          <w:tcPr>
            <w:tcW w:type="dxa" w:w="10656"/>
            <w:vAlign w:val="top"/>
          </w:tcPr>
          <w:p>
            <w:r/>
            <w:r>
              <w:rPr>
                <w:b w:val="0"/>
                <w:sz w:val="17"/>
              </w:rPr>
              <w:t>Date début</w:t>
            </w:r>
          </w:p>
        </w:tc>
      </w:tr>
      <w:tr>
        <w:tc>
          <w:tcPr>
            <w:tcW w:type="dxa" w:w="10656"/>
            <w:vAlign w:val="top"/>
          </w:tcPr>
          <w:p>
            <w:r/>
            <w:r>
              <w:rPr>
                <w:b w:val="0"/>
                <w:sz w:val="17"/>
              </w:rPr>
              <w:t>Date fin</w:t>
            </w:r>
          </w:p>
        </w:tc>
      </w:tr>
      <w:tr>
        <w:tc>
          <w:tcPr>
            <w:tcW w:type="dxa" w:w="10656"/>
            <w:vAlign w:val="top"/>
          </w:tcPr>
          <w:p>
            <w:r/>
            <w:r>
              <w:rPr>
                <w:b w:val="0"/>
                <w:sz w:val="17"/>
              </w:rPr>
              <w:t>Priorité</w:t>
            </w:r>
          </w:p>
        </w:tc>
      </w:tr>
      <w:tr>
        <w:tc>
          <w:tcPr>
            <w:tcW w:type="dxa" w:w="10656"/>
            <w:vAlign w:val="top"/>
          </w:tcPr>
          <w:p>
            <w:r/>
            <w:r>
              <w:rPr>
                <w:b w:val="0"/>
                <w:sz w:val="17"/>
              </w:rPr>
              <w:t>Indicateur de performance</w:t>
            </w:r>
          </w:p>
        </w:tc>
      </w:tr>
      <w:tr>
        <w:tc>
          <w:tcPr>
            <w:tcW w:type="dxa" w:w="10656"/>
            <w:vAlign w:val="top"/>
          </w:tcPr>
          <w:p>
            <w:r/>
            <w:r>
              <w:rPr>
                <w:b w:val="0"/>
                <w:sz w:val="17"/>
              </w:rPr>
              <w:t>Source de vérification</w:t>
            </w:r>
          </w:p>
        </w:tc>
      </w:tr>
      <w:tr>
        <w:tc>
          <w:tcPr>
            <w:tcW w:type="dxa" w:w="10656"/>
            <w:vAlign w:val="top"/>
          </w:tcPr>
          <w:p>
            <w:r/>
            <w:r>
              <w:rPr>
                <w:b w:val="0"/>
                <w:sz w:val="17"/>
              </w:rPr>
              <w:t>Statut</w:t>
            </w:r>
          </w:p>
        </w:tc>
      </w:tr>
      <w:tr>
        <w:tc>
          <w:tcPr>
            <w:tcW w:type="dxa" w:w="10656"/>
            <w:vAlign w:val="top"/>
          </w:tcPr>
          <w:p>
            <w:r/>
            <w:r>
              <w:rPr>
                <w:b w:val="0"/>
                <w:sz w:val="17"/>
              </w:rPr>
              <w:t>Taux d’avancement</w:t>
            </w:r>
          </w:p>
        </w:tc>
      </w:tr>
      <w:tr>
        <w:tc>
          <w:tcPr>
            <w:tcW w:type="dxa" w:w="10656"/>
            <w:vAlign w:val="top"/>
          </w:tcPr>
          <w:p>
            <w:r/>
            <w:r>
              <w:rPr>
                <w:b w:val="0"/>
                <w:sz w:val="17"/>
              </w:rPr>
              <w:t>Risque / contrainte</w:t>
            </w:r>
          </w:p>
        </w:tc>
      </w:tr>
      <w:tr>
        <w:tc>
          <w:tcPr>
            <w:tcW w:type="dxa" w:w="10656"/>
            <w:vAlign w:val="top"/>
          </w:tcPr>
          <w:p>
            <w:r/>
            <w:r>
              <w:rPr>
                <w:b w:val="0"/>
                <w:sz w:val="17"/>
              </w:rPr>
              <w:t>Commentaires</w:t>
            </w:r>
          </w:p>
        </w:tc>
      </w:tr>
    </w:tbl>
    <w:p/>
    <w:p>
      <w:pPr>
        <w:pStyle w:val="Heading1"/>
      </w:pPr>
      <w:r>
        <w:t>11. Stack technique cible</w:t>
      </w:r>
    </w:p>
    <w:p>
      <w:r>
        <w:t>La stack technique à mentionner dans le cadrage est volontairement limitée à :</w:t>
      </w:r>
    </w:p>
    <w:p>
      <w:r>
        <w:rPr>
          <w:b/>
          <w:color w:val="1F4E79"/>
          <w:sz w:val="26"/>
        </w:rPr>
        <w:t>Next.js 16 API</w:t>
      </w:r>
    </w:p>
    <w:p>
      <w:r>
        <w:t>L’agent fullstack doit développer les routes API sécurisées, les interfaces connectées, la persistance des données, les validations, les tests, les exports et les workflows en cohérence avec cette cible technique.</w:t>
      </w:r>
    </w:p>
    <w:p>
      <w:pPr>
        <w:pStyle w:val="Heading1"/>
      </w:pPr>
      <w:r>
        <w:t>12. Schéma simplifié de la base de données</w:t>
      </w:r>
    </w:p>
    <w:p>
      <w:r>
        <w:t>L’agent doit proposer et implémenter un modèle de données cohérent. Les tables minimales attendues sont :</w:t>
      </w:r>
    </w:p>
    <w:p>
      <w:pPr>
        <w:pStyle w:val="ListBullet"/>
      </w:pPr>
      <w:r>
        <w:t>users</w:t>
      </w:r>
    </w:p>
    <w:p>
      <w:pPr>
        <w:pStyle w:val="ListBullet"/>
      </w:pPr>
      <w:r>
        <w:t>roles</w:t>
      </w:r>
    </w:p>
    <w:p>
      <w:pPr>
        <w:pStyle w:val="ListBullet"/>
      </w:pPr>
      <w:r>
        <w:t>permissions</w:t>
      </w:r>
    </w:p>
    <w:p>
      <w:pPr>
        <w:pStyle w:val="ListBullet"/>
      </w:pPr>
      <w:r>
        <w:t>sessions</w:t>
      </w:r>
    </w:p>
    <w:p>
      <w:pPr>
        <w:pStyle w:val="ListBullet"/>
      </w:pPr>
      <w:r>
        <w:t>departments</w:t>
      </w:r>
    </w:p>
    <w:p>
      <w:pPr>
        <w:pStyle w:val="ListBullet"/>
      </w:pPr>
      <w:r>
        <w:t>staff_members</w:t>
      </w:r>
    </w:p>
    <w:p>
      <w:pPr>
        <w:pStyle w:val="ListBullet"/>
      </w:pPr>
      <w:r>
        <w:t>strategic_axes</w:t>
      </w:r>
    </w:p>
    <w:p>
      <w:pPr>
        <w:pStyle w:val="ListBullet"/>
      </w:pPr>
      <w:r>
        <w:t>acbf_domains</w:t>
      </w:r>
    </w:p>
    <w:p>
      <w:pPr>
        <w:pStyle w:val="ListBullet"/>
      </w:pPr>
      <w:r>
        <w:t>acbf_deliverables</w:t>
      </w:r>
    </w:p>
    <w:p>
      <w:pPr>
        <w:pStyle w:val="ListBullet"/>
      </w:pPr>
      <w:r>
        <w:t>annual_workplans</w:t>
      </w:r>
    </w:p>
    <w:p>
      <w:pPr>
        <w:pStyle w:val="ListBullet"/>
      </w:pPr>
      <w:r>
        <w:t>activities</w:t>
      </w:r>
    </w:p>
    <w:p>
      <w:pPr>
        <w:pStyle w:val="ListBullet"/>
      </w:pPr>
      <w:r>
        <w:t>activity_contributors</w:t>
      </w:r>
    </w:p>
    <w:p>
      <w:pPr>
        <w:pStyle w:val="ListBullet"/>
      </w:pPr>
      <w:r>
        <w:t>evidence_files</w:t>
      </w:r>
    </w:p>
    <w:p>
      <w:pPr>
        <w:pStyle w:val="ListBullet"/>
      </w:pPr>
      <w:r>
        <w:t>raci_matrix</w:t>
      </w:r>
    </w:p>
    <w:p>
      <w:pPr>
        <w:pStyle w:val="ListBullet"/>
      </w:pPr>
      <w:r>
        <w:t>gantt_items</w:t>
      </w:r>
    </w:p>
    <w:p>
      <w:pPr>
        <w:pStyle w:val="ListBullet"/>
      </w:pPr>
      <w:r>
        <w:t>dashboard_indicators</w:t>
      </w:r>
    </w:p>
    <w:p>
      <w:pPr>
        <w:pStyle w:val="ListBullet"/>
      </w:pPr>
      <w:r>
        <w:t>report_templates</w:t>
      </w:r>
    </w:p>
    <w:p>
      <w:pPr>
        <w:pStyle w:val="ListBullet"/>
      </w:pPr>
      <w:r>
        <w:t>reports</w:t>
      </w:r>
    </w:p>
    <w:p>
      <w:pPr>
        <w:pStyle w:val="ListBullet"/>
      </w:pPr>
      <w:r>
        <w:t>notifications</w:t>
      </w:r>
    </w:p>
    <w:p>
      <w:pPr>
        <w:pStyle w:val="ListBullet"/>
      </w:pPr>
      <w:r>
        <w:t>audit_logs</w:t>
      </w:r>
    </w:p>
    <w:p>
      <w:pPr>
        <w:pStyle w:val="ListBullet"/>
      </w:pPr>
      <w:r>
        <w:t>imports</w:t>
      </w:r>
    </w:p>
    <w:p>
      <w:pPr>
        <w:pStyle w:val="ListBullet"/>
      </w:pPr>
      <w:r>
        <w:t>exports</w:t>
      </w:r>
    </w:p>
    <w:p>
      <w:pPr>
        <w:pStyle w:val="ListBullet"/>
      </w:pPr>
      <w:r>
        <w:t>settings</w:t>
      </w:r>
    </w:p>
    <w:p>
      <w:pPr>
        <w:pStyle w:val="Heading2"/>
      </w:pPr>
      <w:r>
        <w:t>Champs minimaux de la table activities</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7"/>
              </w:rPr>
              <w:t>Champ</w:t>
            </w:r>
          </w:p>
        </w:tc>
        <w:tc>
          <w:tcPr>
            <w:tcW w:type="dxa" w:w="5328"/>
            <w:vAlign w:val="top"/>
            <w:shd w:fill="1F4E79"/>
          </w:tcPr>
          <w:p>
            <w:r/>
            <w:r>
              <w:rPr>
                <w:b/>
                <w:color w:val="FFFFFF"/>
                <w:sz w:val="17"/>
              </w:rPr>
              <w:t>Description</w:t>
            </w:r>
          </w:p>
        </w:tc>
      </w:tr>
      <w:tr>
        <w:tc>
          <w:tcPr>
            <w:tcW w:type="dxa" w:w="5328"/>
            <w:vAlign w:val="top"/>
          </w:tcPr>
          <w:p>
            <w:r/>
            <w:r>
              <w:rPr>
                <w:b w:val="0"/>
                <w:sz w:val="17"/>
              </w:rPr>
              <w:t>id</w:t>
            </w:r>
          </w:p>
        </w:tc>
        <w:tc>
          <w:tcPr>
            <w:tcW w:type="dxa" w:w="5328"/>
            <w:vAlign w:val="top"/>
          </w:tcPr>
          <w:p>
            <w:r/>
            <w:r>
              <w:rPr>
                <w:b w:val="0"/>
                <w:sz w:val="17"/>
              </w:rPr>
              <w:t>À implémenter et tester</w:t>
            </w:r>
          </w:p>
        </w:tc>
      </w:tr>
      <w:tr>
        <w:tc>
          <w:tcPr>
            <w:tcW w:type="dxa" w:w="5328"/>
            <w:vAlign w:val="top"/>
          </w:tcPr>
          <w:p>
            <w:r/>
            <w:r>
              <w:rPr>
                <w:b w:val="0"/>
                <w:sz w:val="17"/>
              </w:rPr>
              <w:t>activity_code</w:t>
            </w:r>
          </w:p>
        </w:tc>
        <w:tc>
          <w:tcPr>
            <w:tcW w:type="dxa" w:w="5328"/>
            <w:vAlign w:val="top"/>
          </w:tcPr>
          <w:p>
            <w:r/>
            <w:r>
              <w:rPr>
                <w:b w:val="0"/>
                <w:sz w:val="17"/>
              </w:rPr>
              <w:t>À implémenter et tester</w:t>
            </w:r>
          </w:p>
        </w:tc>
      </w:tr>
      <w:tr>
        <w:tc>
          <w:tcPr>
            <w:tcW w:type="dxa" w:w="5328"/>
            <w:vAlign w:val="top"/>
          </w:tcPr>
          <w:p>
            <w:r/>
            <w:r>
              <w:rPr>
                <w:b w:val="0"/>
                <w:sz w:val="17"/>
              </w:rPr>
              <w:t>responsible_id</w:t>
            </w:r>
          </w:p>
        </w:tc>
        <w:tc>
          <w:tcPr>
            <w:tcW w:type="dxa" w:w="5328"/>
            <w:vAlign w:val="top"/>
          </w:tcPr>
          <w:p>
            <w:r/>
            <w:r>
              <w:rPr>
                <w:b w:val="0"/>
                <w:sz w:val="17"/>
              </w:rPr>
              <w:t>À implémenter et tester</w:t>
            </w:r>
          </w:p>
        </w:tc>
      </w:tr>
      <w:tr>
        <w:tc>
          <w:tcPr>
            <w:tcW w:type="dxa" w:w="5328"/>
            <w:vAlign w:val="top"/>
          </w:tcPr>
          <w:p>
            <w:r/>
            <w:r>
              <w:rPr>
                <w:b w:val="0"/>
                <w:sz w:val="17"/>
              </w:rPr>
              <w:t>department_id</w:t>
            </w:r>
          </w:p>
        </w:tc>
        <w:tc>
          <w:tcPr>
            <w:tcW w:type="dxa" w:w="5328"/>
            <w:vAlign w:val="top"/>
          </w:tcPr>
          <w:p>
            <w:r/>
            <w:r>
              <w:rPr>
                <w:b w:val="0"/>
                <w:sz w:val="17"/>
              </w:rPr>
              <w:t>À implémenter et tester</w:t>
            </w:r>
          </w:p>
        </w:tc>
      </w:tr>
      <w:tr>
        <w:tc>
          <w:tcPr>
            <w:tcW w:type="dxa" w:w="5328"/>
            <w:vAlign w:val="top"/>
          </w:tcPr>
          <w:p>
            <w:r/>
            <w:r>
              <w:rPr>
                <w:b w:val="0"/>
                <w:sz w:val="17"/>
              </w:rPr>
              <w:t>primary_axis_id</w:t>
            </w:r>
          </w:p>
        </w:tc>
        <w:tc>
          <w:tcPr>
            <w:tcW w:type="dxa" w:w="5328"/>
            <w:vAlign w:val="top"/>
          </w:tcPr>
          <w:p>
            <w:r/>
            <w:r>
              <w:rPr>
                <w:b w:val="0"/>
                <w:sz w:val="17"/>
              </w:rPr>
              <w:t>À implémenter et tester</w:t>
            </w:r>
          </w:p>
        </w:tc>
      </w:tr>
      <w:tr>
        <w:tc>
          <w:tcPr>
            <w:tcW w:type="dxa" w:w="5328"/>
            <w:vAlign w:val="top"/>
          </w:tcPr>
          <w:p>
            <w:r/>
            <w:r>
              <w:rPr>
                <w:b w:val="0"/>
                <w:sz w:val="17"/>
              </w:rPr>
              <w:t>secondary_axis_id</w:t>
            </w:r>
          </w:p>
        </w:tc>
        <w:tc>
          <w:tcPr>
            <w:tcW w:type="dxa" w:w="5328"/>
            <w:vAlign w:val="top"/>
          </w:tcPr>
          <w:p>
            <w:r/>
            <w:r>
              <w:rPr>
                <w:b w:val="0"/>
                <w:sz w:val="17"/>
              </w:rPr>
              <w:t>À implémenter et tester</w:t>
            </w:r>
          </w:p>
        </w:tc>
      </w:tr>
      <w:tr>
        <w:tc>
          <w:tcPr>
            <w:tcW w:type="dxa" w:w="5328"/>
            <w:vAlign w:val="top"/>
          </w:tcPr>
          <w:p>
            <w:r/>
            <w:r>
              <w:rPr>
                <w:b w:val="0"/>
                <w:sz w:val="17"/>
              </w:rPr>
              <w:t>acbf_domain_id</w:t>
            </w:r>
          </w:p>
        </w:tc>
        <w:tc>
          <w:tcPr>
            <w:tcW w:type="dxa" w:w="5328"/>
            <w:vAlign w:val="top"/>
          </w:tcPr>
          <w:p>
            <w:r/>
            <w:r>
              <w:rPr>
                <w:b w:val="0"/>
                <w:sz w:val="17"/>
              </w:rPr>
              <w:t>À implémenter et tester</w:t>
            </w:r>
          </w:p>
        </w:tc>
      </w:tr>
      <w:tr>
        <w:tc>
          <w:tcPr>
            <w:tcW w:type="dxa" w:w="5328"/>
            <w:vAlign w:val="top"/>
          </w:tcPr>
          <w:p>
            <w:r/>
            <w:r>
              <w:rPr>
                <w:b w:val="0"/>
                <w:sz w:val="17"/>
              </w:rPr>
              <w:t>acbf_deliverable_id</w:t>
            </w:r>
          </w:p>
        </w:tc>
        <w:tc>
          <w:tcPr>
            <w:tcW w:type="dxa" w:w="5328"/>
            <w:vAlign w:val="top"/>
          </w:tcPr>
          <w:p>
            <w:r/>
            <w:r>
              <w:rPr>
                <w:b w:val="0"/>
                <w:sz w:val="17"/>
              </w:rPr>
              <w:t>À implémenter et tester</w:t>
            </w:r>
          </w:p>
        </w:tc>
      </w:tr>
      <w:tr>
        <w:tc>
          <w:tcPr>
            <w:tcW w:type="dxa" w:w="5328"/>
            <w:vAlign w:val="top"/>
          </w:tcPr>
          <w:p>
            <w:r/>
            <w:r>
              <w:rPr>
                <w:b w:val="0"/>
                <w:sz w:val="17"/>
              </w:rPr>
              <w:t>annual_objective</w:t>
            </w:r>
          </w:p>
        </w:tc>
        <w:tc>
          <w:tcPr>
            <w:tcW w:type="dxa" w:w="5328"/>
            <w:vAlign w:val="top"/>
          </w:tcPr>
          <w:p>
            <w:r/>
            <w:r>
              <w:rPr>
                <w:b w:val="0"/>
                <w:sz w:val="17"/>
              </w:rPr>
              <w:t>À implémenter et tester</w:t>
            </w:r>
          </w:p>
        </w:tc>
      </w:tr>
      <w:tr>
        <w:tc>
          <w:tcPr>
            <w:tcW w:type="dxa" w:w="5328"/>
            <w:vAlign w:val="top"/>
          </w:tcPr>
          <w:p>
            <w:r/>
            <w:r>
              <w:rPr>
                <w:b w:val="0"/>
                <w:sz w:val="17"/>
              </w:rPr>
              <w:t>title</w:t>
            </w:r>
          </w:p>
        </w:tc>
        <w:tc>
          <w:tcPr>
            <w:tcW w:type="dxa" w:w="5328"/>
            <w:vAlign w:val="top"/>
          </w:tcPr>
          <w:p>
            <w:r/>
            <w:r>
              <w:rPr>
                <w:b w:val="0"/>
                <w:sz w:val="17"/>
              </w:rPr>
              <w:t>À implémenter et tester</w:t>
            </w:r>
          </w:p>
        </w:tc>
      </w:tr>
      <w:tr>
        <w:tc>
          <w:tcPr>
            <w:tcW w:type="dxa" w:w="5328"/>
            <w:vAlign w:val="top"/>
          </w:tcPr>
          <w:p>
            <w:r/>
            <w:r>
              <w:rPr>
                <w:b w:val="0"/>
                <w:sz w:val="17"/>
              </w:rPr>
              <w:t>detailed_tasks</w:t>
            </w:r>
          </w:p>
        </w:tc>
        <w:tc>
          <w:tcPr>
            <w:tcW w:type="dxa" w:w="5328"/>
            <w:vAlign w:val="top"/>
          </w:tcPr>
          <w:p>
            <w:r/>
            <w:r>
              <w:rPr>
                <w:b w:val="0"/>
                <w:sz w:val="17"/>
              </w:rPr>
              <w:t>À implémenter et tester</w:t>
            </w:r>
          </w:p>
        </w:tc>
      </w:tr>
      <w:tr>
        <w:tc>
          <w:tcPr>
            <w:tcW w:type="dxa" w:w="5328"/>
            <w:vAlign w:val="top"/>
          </w:tcPr>
          <w:p>
            <w:r/>
            <w:r>
              <w:rPr>
                <w:b w:val="0"/>
                <w:sz w:val="17"/>
              </w:rPr>
              <w:t>expected_deliverable</w:t>
            </w:r>
          </w:p>
        </w:tc>
        <w:tc>
          <w:tcPr>
            <w:tcW w:type="dxa" w:w="5328"/>
            <w:vAlign w:val="top"/>
          </w:tcPr>
          <w:p>
            <w:r/>
            <w:r>
              <w:rPr>
                <w:b w:val="0"/>
                <w:sz w:val="17"/>
              </w:rPr>
              <w:t>À implémenter et tester</w:t>
            </w:r>
          </w:p>
        </w:tc>
      </w:tr>
      <w:tr>
        <w:tc>
          <w:tcPr>
            <w:tcW w:type="dxa" w:w="5328"/>
            <w:vAlign w:val="top"/>
          </w:tcPr>
          <w:p>
            <w:r/>
            <w:r>
              <w:rPr>
                <w:b w:val="0"/>
                <w:sz w:val="17"/>
              </w:rPr>
              <w:t>validator_id</w:t>
            </w:r>
          </w:p>
        </w:tc>
        <w:tc>
          <w:tcPr>
            <w:tcW w:type="dxa" w:w="5328"/>
            <w:vAlign w:val="top"/>
          </w:tcPr>
          <w:p>
            <w:r/>
            <w:r>
              <w:rPr>
                <w:b w:val="0"/>
                <w:sz w:val="17"/>
              </w:rPr>
              <w:t>À implémenter et tester</w:t>
            </w:r>
          </w:p>
        </w:tc>
      </w:tr>
      <w:tr>
        <w:tc>
          <w:tcPr>
            <w:tcW w:type="dxa" w:w="5328"/>
            <w:vAlign w:val="top"/>
          </w:tcPr>
          <w:p>
            <w:r/>
            <w:r>
              <w:rPr>
                <w:b w:val="0"/>
                <w:sz w:val="17"/>
              </w:rPr>
              <w:t>start_date</w:t>
            </w:r>
          </w:p>
        </w:tc>
        <w:tc>
          <w:tcPr>
            <w:tcW w:type="dxa" w:w="5328"/>
            <w:vAlign w:val="top"/>
          </w:tcPr>
          <w:p>
            <w:r/>
            <w:r>
              <w:rPr>
                <w:b w:val="0"/>
                <w:sz w:val="17"/>
              </w:rPr>
              <w:t>À implémenter et tester</w:t>
            </w:r>
          </w:p>
        </w:tc>
      </w:tr>
      <w:tr>
        <w:tc>
          <w:tcPr>
            <w:tcW w:type="dxa" w:w="5328"/>
            <w:vAlign w:val="top"/>
          </w:tcPr>
          <w:p>
            <w:r/>
            <w:r>
              <w:rPr>
                <w:b w:val="0"/>
                <w:sz w:val="17"/>
              </w:rPr>
              <w:t>end_date</w:t>
            </w:r>
          </w:p>
        </w:tc>
        <w:tc>
          <w:tcPr>
            <w:tcW w:type="dxa" w:w="5328"/>
            <w:vAlign w:val="top"/>
          </w:tcPr>
          <w:p>
            <w:r/>
            <w:r>
              <w:rPr>
                <w:b w:val="0"/>
                <w:sz w:val="17"/>
              </w:rPr>
              <w:t>À implémenter et tester</w:t>
            </w:r>
          </w:p>
        </w:tc>
      </w:tr>
      <w:tr>
        <w:tc>
          <w:tcPr>
            <w:tcW w:type="dxa" w:w="5328"/>
            <w:vAlign w:val="top"/>
          </w:tcPr>
          <w:p>
            <w:r/>
            <w:r>
              <w:rPr>
                <w:b w:val="0"/>
                <w:sz w:val="17"/>
              </w:rPr>
              <w:t>priority</w:t>
            </w:r>
          </w:p>
        </w:tc>
        <w:tc>
          <w:tcPr>
            <w:tcW w:type="dxa" w:w="5328"/>
            <w:vAlign w:val="top"/>
          </w:tcPr>
          <w:p>
            <w:r/>
            <w:r>
              <w:rPr>
                <w:b w:val="0"/>
                <w:sz w:val="17"/>
              </w:rPr>
              <w:t>À implémenter et tester</w:t>
            </w:r>
          </w:p>
        </w:tc>
      </w:tr>
      <w:tr>
        <w:tc>
          <w:tcPr>
            <w:tcW w:type="dxa" w:w="5328"/>
            <w:vAlign w:val="top"/>
          </w:tcPr>
          <w:p>
            <w:r/>
            <w:r>
              <w:rPr>
                <w:b w:val="0"/>
                <w:sz w:val="17"/>
              </w:rPr>
              <w:t>performance_indicator</w:t>
            </w:r>
          </w:p>
        </w:tc>
        <w:tc>
          <w:tcPr>
            <w:tcW w:type="dxa" w:w="5328"/>
            <w:vAlign w:val="top"/>
          </w:tcPr>
          <w:p>
            <w:r/>
            <w:r>
              <w:rPr>
                <w:b w:val="0"/>
                <w:sz w:val="17"/>
              </w:rPr>
              <w:t>À implémenter et tester</w:t>
            </w:r>
          </w:p>
        </w:tc>
      </w:tr>
      <w:tr>
        <w:tc>
          <w:tcPr>
            <w:tcW w:type="dxa" w:w="5328"/>
            <w:vAlign w:val="top"/>
          </w:tcPr>
          <w:p>
            <w:r/>
            <w:r>
              <w:rPr>
                <w:b w:val="0"/>
                <w:sz w:val="17"/>
              </w:rPr>
              <w:t>verification_source</w:t>
            </w:r>
          </w:p>
        </w:tc>
        <w:tc>
          <w:tcPr>
            <w:tcW w:type="dxa" w:w="5328"/>
            <w:vAlign w:val="top"/>
          </w:tcPr>
          <w:p>
            <w:r/>
            <w:r>
              <w:rPr>
                <w:b w:val="0"/>
                <w:sz w:val="17"/>
              </w:rPr>
              <w:t>À implémenter et tester</w:t>
            </w:r>
          </w:p>
        </w:tc>
      </w:tr>
      <w:tr>
        <w:tc>
          <w:tcPr>
            <w:tcW w:type="dxa" w:w="5328"/>
            <w:vAlign w:val="top"/>
          </w:tcPr>
          <w:p>
            <w:r/>
            <w:r>
              <w:rPr>
                <w:b w:val="0"/>
                <w:sz w:val="17"/>
              </w:rPr>
              <w:t>status</w:t>
            </w:r>
          </w:p>
        </w:tc>
        <w:tc>
          <w:tcPr>
            <w:tcW w:type="dxa" w:w="5328"/>
            <w:vAlign w:val="top"/>
          </w:tcPr>
          <w:p>
            <w:r/>
            <w:r>
              <w:rPr>
                <w:b w:val="0"/>
                <w:sz w:val="17"/>
              </w:rPr>
              <w:t>À implémenter et tester</w:t>
            </w:r>
          </w:p>
        </w:tc>
      </w:tr>
      <w:tr>
        <w:tc>
          <w:tcPr>
            <w:tcW w:type="dxa" w:w="5328"/>
            <w:vAlign w:val="top"/>
          </w:tcPr>
          <w:p>
            <w:r/>
            <w:r>
              <w:rPr>
                <w:b w:val="0"/>
                <w:sz w:val="17"/>
              </w:rPr>
              <w:t>progress_rate</w:t>
            </w:r>
          </w:p>
        </w:tc>
        <w:tc>
          <w:tcPr>
            <w:tcW w:type="dxa" w:w="5328"/>
            <w:vAlign w:val="top"/>
          </w:tcPr>
          <w:p>
            <w:r/>
            <w:r>
              <w:rPr>
                <w:b w:val="0"/>
                <w:sz w:val="17"/>
              </w:rPr>
              <w:t>À implémenter et tester</w:t>
            </w:r>
          </w:p>
        </w:tc>
      </w:tr>
      <w:tr>
        <w:tc>
          <w:tcPr>
            <w:tcW w:type="dxa" w:w="5328"/>
            <w:vAlign w:val="top"/>
          </w:tcPr>
          <w:p>
            <w:r/>
            <w:r>
              <w:rPr>
                <w:b w:val="0"/>
                <w:sz w:val="17"/>
              </w:rPr>
              <w:t>risk_description</w:t>
            </w:r>
          </w:p>
        </w:tc>
        <w:tc>
          <w:tcPr>
            <w:tcW w:type="dxa" w:w="5328"/>
            <w:vAlign w:val="top"/>
          </w:tcPr>
          <w:p>
            <w:r/>
            <w:r>
              <w:rPr>
                <w:b w:val="0"/>
                <w:sz w:val="17"/>
              </w:rPr>
              <w:t>À implémenter et tester</w:t>
            </w:r>
          </w:p>
        </w:tc>
      </w:tr>
      <w:tr>
        <w:tc>
          <w:tcPr>
            <w:tcW w:type="dxa" w:w="5328"/>
            <w:vAlign w:val="top"/>
          </w:tcPr>
          <w:p>
            <w:r/>
            <w:r>
              <w:rPr>
                <w:b w:val="0"/>
                <w:sz w:val="17"/>
              </w:rPr>
              <w:t>comments</w:t>
            </w:r>
          </w:p>
        </w:tc>
        <w:tc>
          <w:tcPr>
            <w:tcW w:type="dxa" w:w="5328"/>
            <w:vAlign w:val="top"/>
          </w:tcPr>
          <w:p>
            <w:r/>
            <w:r>
              <w:rPr>
                <w:b w:val="0"/>
                <w:sz w:val="17"/>
              </w:rPr>
              <w:t>À implémenter et tester</w:t>
            </w:r>
          </w:p>
        </w:tc>
      </w:tr>
      <w:tr>
        <w:tc>
          <w:tcPr>
            <w:tcW w:type="dxa" w:w="5328"/>
            <w:vAlign w:val="top"/>
          </w:tcPr>
          <w:p>
            <w:r/>
            <w:r>
              <w:rPr>
                <w:b w:val="0"/>
                <w:sz w:val="17"/>
              </w:rPr>
              <w:t>validation_status</w:t>
            </w:r>
          </w:p>
        </w:tc>
        <w:tc>
          <w:tcPr>
            <w:tcW w:type="dxa" w:w="5328"/>
            <w:vAlign w:val="top"/>
          </w:tcPr>
          <w:p>
            <w:r/>
            <w:r>
              <w:rPr>
                <w:b w:val="0"/>
                <w:sz w:val="17"/>
              </w:rPr>
              <w:t>À implémenter et tester</w:t>
            </w:r>
          </w:p>
        </w:tc>
      </w:tr>
      <w:tr>
        <w:tc>
          <w:tcPr>
            <w:tcW w:type="dxa" w:w="5328"/>
            <w:vAlign w:val="top"/>
          </w:tcPr>
          <w:p>
            <w:r/>
            <w:r>
              <w:rPr>
                <w:b w:val="0"/>
                <w:sz w:val="17"/>
              </w:rPr>
              <w:t>created_by</w:t>
            </w:r>
          </w:p>
        </w:tc>
        <w:tc>
          <w:tcPr>
            <w:tcW w:type="dxa" w:w="5328"/>
            <w:vAlign w:val="top"/>
          </w:tcPr>
          <w:p>
            <w:r/>
            <w:r>
              <w:rPr>
                <w:b w:val="0"/>
                <w:sz w:val="17"/>
              </w:rPr>
              <w:t>À implémenter et tester</w:t>
            </w:r>
          </w:p>
        </w:tc>
      </w:tr>
      <w:tr>
        <w:tc>
          <w:tcPr>
            <w:tcW w:type="dxa" w:w="5328"/>
            <w:vAlign w:val="top"/>
          </w:tcPr>
          <w:p>
            <w:r/>
            <w:r>
              <w:rPr>
                <w:b w:val="0"/>
                <w:sz w:val="17"/>
              </w:rPr>
              <w:t>updated_by</w:t>
            </w:r>
          </w:p>
        </w:tc>
        <w:tc>
          <w:tcPr>
            <w:tcW w:type="dxa" w:w="5328"/>
            <w:vAlign w:val="top"/>
          </w:tcPr>
          <w:p>
            <w:r/>
            <w:r>
              <w:rPr>
                <w:b w:val="0"/>
                <w:sz w:val="17"/>
              </w:rPr>
              <w:t>À implémenter et tester</w:t>
            </w:r>
          </w:p>
        </w:tc>
      </w:tr>
      <w:tr>
        <w:tc>
          <w:tcPr>
            <w:tcW w:type="dxa" w:w="5328"/>
            <w:vAlign w:val="top"/>
          </w:tcPr>
          <w:p>
            <w:r/>
            <w:r>
              <w:rPr>
                <w:b w:val="0"/>
                <w:sz w:val="17"/>
              </w:rPr>
              <w:t>created_at</w:t>
            </w:r>
          </w:p>
        </w:tc>
        <w:tc>
          <w:tcPr>
            <w:tcW w:type="dxa" w:w="5328"/>
            <w:vAlign w:val="top"/>
          </w:tcPr>
          <w:p>
            <w:r/>
            <w:r>
              <w:rPr>
                <w:b w:val="0"/>
                <w:sz w:val="17"/>
              </w:rPr>
              <w:t>À implémenter et tester</w:t>
            </w:r>
          </w:p>
        </w:tc>
      </w:tr>
      <w:tr>
        <w:tc>
          <w:tcPr>
            <w:tcW w:type="dxa" w:w="5328"/>
            <w:vAlign w:val="top"/>
          </w:tcPr>
          <w:p>
            <w:r/>
            <w:r>
              <w:rPr>
                <w:b w:val="0"/>
                <w:sz w:val="17"/>
              </w:rPr>
              <w:t>updated_at</w:t>
            </w:r>
          </w:p>
        </w:tc>
        <w:tc>
          <w:tcPr>
            <w:tcW w:type="dxa" w:w="5328"/>
            <w:vAlign w:val="top"/>
          </w:tcPr>
          <w:p>
            <w:r/>
            <w:r>
              <w:rPr>
                <w:b w:val="0"/>
                <w:sz w:val="17"/>
              </w:rPr>
              <w:t>À implémenter et tester</w:t>
            </w:r>
          </w:p>
        </w:tc>
      </w:tr>
      <w:tr>
        <w:tc>
          <w:tcPr>
            <w:tcW w:type="dxa" w:w="5328"/>
            <w:vAlign w:val="top"/>
          </w:tcPr>
          <w:p>
            <w:r/>
            <w:r>
              <w:rPr>
                <w:b w:val="0"/>
                <w:sz w:val="17"/>
              </w:rPr>
              <w:t>deleted_at</w:t>
            </w:r>
          </w:p>
        </w:tc>
        <w:tc>
          <w:tcPr>
            <w:tcW w:type="dxa" w:w="5328"/>
            <w:vAlign w:val="top"/>
          </w:tcPr>
          <w:p>
            <w:r/>
            <w:r>
              <w:rPr>
                <w:b w:val="0"/>
                <w:sz w:val="17"/>
              </w:rPr>
              <w:t>À implémenter et tester</w:t>
            </w:r>
          </w:p>
        </w:tc>
      </w:tr>
    </w:tbl>
    <w:p/>
    <w:p>
      <w:pPr>
        <w:pStyle w:val="Heading1"/>
      </w:pPr>
      <w:r>
        <w:t>13. Parcours utilisateurs principaux</w:t>
      </w:r>
    </w:p>
    <w:p>
      <w:pPr>
        <w:pStyle w:val="Heading2"/>
      </w:pPr>
      <w:r>
        <w:t>Directeur Exécutif</w:t>
      </w:r>
    </w:p>
    <w:p>
      <w:pPr>
        <w:pStyle w:val="ListBullet"/>
      </w:pPr>
      <w:r>
        <w:t>Consulter le tableau de bord global.</w:t>
      </w:r>
    </w:p>
    <w:p>
      <w:pPr>
        <w:pStyle w:val="ListBullet"/>
      </w:pPr>
      <w:r>
        <w:t>Voir l’avancement par direction et par axe.</w:t>
      </w:r>
    </w:p>
    <w:p>
      <w:pPr>
        <w:pStyle w:val="ListBullet"/>
      </w:pPr>
      <w:r>
        <w:t>Consulter les retards, risques et livrables critiques.</w:t>
      </w:r>
    </w:p>
    <w:p>
      <w:pPr>
        <w:pStyle w:val="ListBullet"/>
      </w:pPr>
      <w:r>
        <w:t>Valider les rapports institutionnels.</w:t>
      </w:r>
    </w:p>
    <w:p>
      <w:pPr>
        <w:pStyle w:val="ListBullet"/>
      </w:pPr>
      <w:r>
        <w:t>Télécharger les synthèses et exports.</w:t>
      </w:r>
    </w:p>
    <w:p>
      <w:pPr>
        <w:pStyle w:val="Heading2"/>
      </w:pPr>
      <w:r>
        <w:t>Responsable MEAL</w:t>
      </w:r>
    </w:p>
    <w:p>
      <w:pPr>
        <w:pStyle w:val="ListBullet"/>
      </w:pPr>
      <w:r>
        <w:t>Contrôler le PTA consolidé.</w:t>
      </w:r>
    </w:p>
    <w:p>
      <w:pPr>
        <w:pStyle w:val="ListBullet"/>
      </w:pPr>
      <w:r>
        <w:t>Vérifier indicateurs, sources et preuves.</w:t>
      </w:r>
    </w:p>
    <w:p>
      <w:pPr>
        <w:pStyle w:val="ListBullet"/>
      </w:pPr>
      <w:r>
        <w:t>Générer les rapports mensuels et trimestriels.</w:t>
      </w:r>
    </w:p>
    <w:p>
      <w:pPr>
        <w:pStyle w:val="ListBullet"/>
      </w:pPr>
      <w:r>
        <w:t>Identifier les preuves manquantes et retards.</w:t>
      </w:r>
    </w:p>
    <w:p>
      <w:pPr>
        <w:pStyle w:val="ListBullet"/>
      </w:pPr>
      <w:r>
        <w:t>Préparer les synthèses de pilotage.</w:t>
      </w:r>
    </w:p>
    <w:p>
      <w:pPr>
        <w:pStyle w:val="Heading2"/>
      </w:pPr>
      <w:r>
        <w:t>Responsable individuel</w:t>
      </w:r>
    </w:p>
    <w:p>
      <w:pPr>
        <w:pStyle w:val="ListBullet"/>
      </w:pPr>
      <w:r>
        <w:t>Consulter son PTA.</w:t>
      </w:r>
    </w:p>
    <w:p>
      <w:pPr>
        <w:pStyle w:val="ListBullet"/>
      </w:pPr>
      <w:r>
        <w:t>Créer ou modifier ses activités.</w:t>
      </w:r>
    </w:p>
    <w:p>
      <w:pPr>
        <w:pStyle w:val="ListBullet"/>
      </w:pPr>
      <w:r>
        <w:t>Mettre à jour statuts et taux d’avancement.</w:t>
      </w:r>
    </w:p>
    <w:p>
      <w:pPr>
        <w:pStyle w:val="ListBullet"/>
      </w:pPr>
      <w:r>
        <w:t>Joindre des preuves.</w:t>
      </w:r>
    </w:p>
    <w:p>
      <w:pPr>
        <w:pStyle w:val="ListBullet"/>
      </w:pPr>
      <w:r>
        <w:t>Soumettre à validation.</w:t>
      </w:r>
    </w:p>
    <w:p>
      <w:pPr>
        <w:pStyle w:val="Heading2"/>
      </w:pPr>
      <w:r>
        <w:t>Validateur</w:t>
      </w:r>
    </w:p>
    <w:p>
      <w:pPr>
        <w:pStyle w:val="ListBullet"/>
      </w:pPr>
      <w:r>
        <w:t>Recevoir une notification.</w:t>
      </w:r>
    </w:p>
    <w:p>
      <w:pPr>
        <w:pStyle w:val="ListBullet"/>
      </w:pPr>
      <w:r>
        <w:t>Vérifier l’activité et les preuves.</w:t>
      </w:r>
    </w:p>
    <w:p>
      <w:pPr>
        <w:pStyle w:val="ListBullet"/>
      </w:pPr>
      <w:r>
        <w:t>Approuver, rejeter ou demander correction.</w:t>
      </w:r>
    </w:p>
    <w:p>
      <w:pPr>
        <w:pStyle w:val="ListBullet"/>
      </w:pPr>
      <w:r>
        <w:t>Ajouter un commentaire.</w:t>
      </w:r>
    </w:p>
    <w:p>
      <w:pPr>
        <w:pStyle w:val="ListBullet"/>
      </w:pPr>
      <w:r>
        <w:t>Verrouiller l’activité validée.</w:t>
      </w:r>
    </w:p>
    <w:p>
      <w:pPr>
        <w:pStyle w:val="Heading1"/>
      </w:pPr>
      <w:r>
        <w:t>14. Méthode de construction par l’agent IA fullstack</w:t>
      </w:r>
    </w:p>
    <w:p>
      <w:pPr>
        <w:pStyle w:val="ListBullet"/>
      </w:pPr>
      <w:r>
        <w:t>Ne jamais développer toute l’application en une seule étape.</w:t>
      </w:r>
    </w:p>
    <w:p>
      <w:pPr>
        <w:pStyle w:val="ListBullet"/>
      </w:pPr>
      <w:r>
        <w:t>Développer module par module selon l’ordre recommandé.</w:t>
      </w:r>
    </w:p>
    <w:p>
      <w:pPr>
        <w:pStyle w:val="ListBullet"/>
      </w:pPr>
      <w:r>
        <w:t>Pour chaque module : modèle, API, UI, permissions, validations, tests, rapport de validation.</w:t>
      </w:r>
    </w:p>
    <w:p>
      <w:pPr>
        <w:pStyle w:val="ListBullet"/>
      </w:pPr>
      <w:r>
        <w:t>Ne pas passer au module suivant sans validation humaine du module actuel.</w:t>
      </w:r>
    </w:p>
    <w:p>
      <w:pPr>
        <w:pStyle w:val="ListBullet"/>
      </w:pPr>
      <w:r>
        <w:t>Créer des seeds réalistes : axes, domaines ACBF, équipe, rôles, activités exemples.</w:t>
      </w:r>
    </w:p>
    <w:p>
      <w:pPr>
        <w:pStyle w:val="ListBullet"/>
      </w:pPr>
      <w:r>
        <w:t>Mettre en place une recette fonctionnelle complète en staging avant production.</w:t>
      </w:r>
    </w:p>
    <w:p>
      <w:pPr>
        <w:pStyle w:val="Heading1"/>
      </w:pPr>
      <w:r>
        <w:t>15. MVP recommandé</w:t>
      </w:r>
    </w:p>
    <w:p>
      <w:pPr>
        <w:pStyle w:val="Heading2"/>
      </w:pPr>
      <w:r>
        <w:t>MVP 1 — Version minimale utile</w:t>
      </w:r>
    </w:p>
    <w:p>
      <w:pPr>
        <w:pStyle w:val="ListBullet"/>
      </w:pPr>
      <w:r>
        <w:t>Authentification.</w:t>
      </w:r>
    </w:p>
    <w:p>
      <w:pPr>
        <w:pStyle w:val="ListBullet"/>
      </w:pPr>
      <w:r>
        <w:t>Administration organisationnelle.</w:t>
      </w:r>
    </w:p>
    <w:p>
      <w:pPr>
        <w:pStyle w:val="ListBullet"/>
      </w:pPr>
      <w:r>
        <w:t>Référentiel stratégique.</w:t>
      </w:r>
    </w:p>
    <w:p>
      <w:pPr>
        <w:pStyle w:val="ListBullet"/>
      </w:pPr>
      <w:r>
        <w:t>Référentiel ACBF.</w:t>
      </w:r>
    </w:p>
    <w:p>
      <w:pPr>
        <w:pStyle w:val="ListBullet"/>
      </w:pPr>
      <w:r>
        <w:t>PTA individuels.</w:t>
      </w:r>
    </w:p>
    <w:p>
      <w:pPr>
        <w:pStyle w:val="ListBullet"/>
      </w:pPr>
      <w:r>
        <w:t>PTA consolidé.</w:t>
      </w:r>
    </w:p>
    <w:p>
      <w:pPr>
        <w:pStyle w:val="ListBullet"/>
      </w:pPr>
      <w:r>
        <w:t>Dashboard simple.</w:t>
      </w:r>
    </w:p>
    <w:p>
      <w:pPr>
        <w:pStyle w:val="ListBullet"/>
      </w:pPr>
      <w:r>
        <w:t>Gantt simple.</w:t>
      </w:r>
    </w:p>
    <w:p>
      <w:pPr>
        <w:pStyle w:val="ListBullet"/>
      </w:pPr>
      <w:r>
        <w:t>Exports simples.</w:t>
      </w:r>
    </w:p>
    <w:p>
      <w:pPr>
        <w:pStyle w:val="Heading2"/>
      </w:pPr>
      <w:r>
        <w:t>MVP 2 — Version institutionnelle</w:t>
      </w:r>
    </w:p>
    <w:p>
      <w:pPr>
        <w:pStyle w:val="ListBullet"/>
      </w:pPr>
      <w:r>
        <w:t>Workflow de validation.</w:t>
      </w:r>
    </w:p>
    <w:p>
      <w:pPr>
        <w:pStyle w:val="ListBullet"/>
      </w:pPr>
      <w:r>
        <w:t>Gestion documentaire et preuves.</w:t>
      </w:r>
    </w:p>
    <w:p>
      <w:pPr>
        <w:pStyle w:val="ListBullet"/>
      </w:pPr>
      <w:r>
        <w:t>RACI interactive.</w:t>
      </w:r>
    </w:p>
    <w:p>
      <w:pPr>
        <w:pStyle w:val="ListBullet"/>
      </w:pPr>
      <w:r>
        <w:t>Notifications.</w:t>
      </w:r>
    </w:p>
    <w:p>
      <w:pPr>
        <w:pStyle w:val="ListBullet"/>
      </w:pPr>
      <w:r>
        <w:t>Alertes de retard.</w:t>
      </w:r>
    </w:p>
    <w:p>
      <w:pPr>
        <w:pStyle w:val="ListBullet"/>
      </w:pPr>
      <w:r>
        <w:t>Rapports mensuels et trimestriels.</w:t>
      </w:r>
    </w:p>
    <w:p>
      <w:pPr>
        <w:pStyle w:val="ListBullet"/>
      </w:pPr>
      <w:r>
        <w:t>Journal d’audit.</w:t>
      </w:r>
    </w:p>
    <w:p>
      <w:pPr>
        <w:pStyle w:val="ListBullet"/>
      </w:pPr>
      <w:r>
        <w:t>Gestion des risques.</w:t>
      </w:r>
    </w:p>
    <w:p>
      <w:pPr>
        <w:pStyle w:val="Heading2"/>
      </w:pPr>
      <w:r>
        <w:t>MVP 3 — Version avancée</w:t>
      </w:r>
    </w:p>
    <w:p>
      <w:pPr>
        <w:pStyle w:val="ListBullet"/>
      </w:pPr>
      <w:r>
        <w:t>Assistant IA interne.</w:t>
      </w:r>
    </w:p>
    <w:p>
      <w:pPr>
        <w:pStyle w:val="ListBullet"/>
      </w:pPr>
      <w:r>
        <w:t>Recommandations MEAL.</w:t>
      </w:r>
    </w:p>
    <w:p>
      <w:pPr>
        <w:pStyle w:val="ListBullet"/>
      </w:pPr>
      <w:r>
        <w:t>Analyse des retards.</w:t>
      </w:r>
    </w:p>
    <w:p>
      <w:pPr>
        <w:pStyle w:val="ListBullet"/>
      </w:pPr>
      <w:r>
        <w:t>Observatoire WASH.</w:t>
      </w:r>
    </w:p>
    <w:p>
      <w:pPr>
        <w:pStyle w:val="ListBullet"/>
      </w:pPr>
      <w:r>
        <w:t>Benchmarking.</w:t>
      </w:r>
    </w:p>
    <w:p>
      <w:pPr>
        <w:pStyle w:val="ListBullet"/>
      </w:pPr>
      <w:r>
        <w:t>Portail membres.</w:t>
      </w:r>
    </w:p>
    <w:p>
      <w:pPr>
        <w:pStyle w:val="ListBullet"/>
      </w:pPr>
      <w:r>
        <w:t>Modules formations, événements et partenariats.</w:t>
      </w:r>
    </w:p>
    <w:p>
      <w:pPr>
        <w:pStyle w:val="ListBullet"/>
      </w:pPr>
      <w:r>
        <w:t>Export PowerPoint automatique.</w:t>
      </w:r>
    </w:p>
    <w:p>
      <w:pPr>
        <w:pStyle w:val="Heading1"/>
      </w:pPr>
      <w:r>
        <w:t>16. Définition de terminé</w:t>
      </w:r>
    </w:p>
    <w:p>
      <w:r>
        <w:t>Un module n’est pas terminé parce que le code est généré. Un module est terminé uniquement si les API, interfaces, CRUD, permissions, validations, tests et scénarios utilisateurs fonctionnent réellement.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1F4E79"/>
          </w:tcPr>
          <w:p>
            <w:r/>
            <w:r>
              <w:rPr>
                <w:b/>
                <w:color w:val="FFFFFF"/>
                <w:sz w:val="17"/>
              </w:rPr>
              <w:t>Contrôle obligatoire</w:t>
            </w:r>
          </w:p>
        </w:tc>
        <w:tc>
          <w:tcPr>
            <w:tcW w:type="dxa" w:w="5328"/>
            <w:vAlign w:val="top"/>
            <w:shd w:fill="1F4E79"/>
          </w:tcPr>
          <w:p>
            <w:r/>
            <w:r>
              <w:rPr>
                <w:b/>
                <w:color w:val="FFFFFF"/>
                <w:sz w:val="17"/>
              </w:rPr>
              <w:t>Statut attendu</w:t>
            </w:r>
          </w:p>
        </w:tc>
      </w:tr>
      <w:tr>
        <w:tc>
          <w:tcPr>
            <w:tcW w:type="dxa" w:w="5328"/>
            <w:vAlign w:val="top"/>
          </w:tcPr>
          <w:p>
            <w:r/>
            <w:r>
              <w:rPr>
                <w:b w:val="0"/>
                <w:sz w:val="17"/>
              </w:rPr>
              <w:t>Modèle de données créé</w:t>
            </w:r>
          </w:p>
        </w:tc>
        <w:tc>
          <w:tcPr>
            <w:tcW w:type="dxa" w:w="5328"/>
            <w:vAlign w:val="top"/>
          </w:tcPr>
          <w:p>
            <w:r/>
            <w:r>
              <w:rPr>
                <w:b w:val="0"/>
                <w:sz w:val="17"/>
              </w:rPr>
              <w:t>OK</w:t>
            </w:r>
          </w:p>
        </w:tc>
      </w:tr>
      <w:tr>
        <w:tc>
          <w:tcPr>
            <w:tcW w:type="dxa" w:w="5328"/>
            <w:vAlign w:val="top"/>
          </w:tcPr>
          <w:p>
            <w:r/>
            <w:r>
              <w:rPr>
                <w:b w:val="0"/>
                <w:sz w:val="17"/>
              </w:rPr>
              <w:t>Migration exécutée</w:t>
            </w:r>
          </w:p>
        </w:tc>
        <w:tc>
          <w:tcPr>
            <w:tcW w:type="dxa" w:w="5328"/>
            <w:vAlign w:val="top"/>
          </w:tcPr>
          <w:p>
            <w:r/>
            <w:r>
              <w:rPr>
                <w:b w:val="0"/>
                <w:sz w:val="17"/>
              </w:rPr>
              <w:t>OK</w:t>
            </w:r>
          </w:p>
        </w:tc>
      </w:tr>
      <w:tr>
        <w:tc>
          <w:tcPr>
            <w:tcW w:type="dxa" w:w="5328"/>
            <w:vAlign w:val="top"/>
          </w:tcPr>
          <w:p>
            <w:r/>
            <w:r>
              <w:rPr>
                <w:b w:val="0"/>
                <w:sz w:val="17"/>
              </w:rPr>
              <w:t>Seeds disponibles</w:t>
            </w:r>
          </w:p>
        </w:tc>
        <w:tc>
          <w:tcPr>
            <w:tcW w:type="dxa" w:w="5328"/>
            <w:vAlign w:val="top"/>
          </w:tcPr>
          <w:p>
            <w:r/>
            <w:r>
              <w:rPr>
                <w:b w:val="0"/>
                <w:sz w:val="17"/>
              </w:rPr>
              <w:t>OK</w:t>
            </w:r>
          </w:p>
        </w:tc>
      </w:tr>
      <w:tr>
        <w:tc>
          <w:tcPr>
            <w:tcW w:type="dxa" w:w="5328"/>
            <w:vAlign w:val="top"/>
          </w:tcPr>
          <w:p>
            <w:r/>
            <w:r>
              <w:rPr>
                <w:b w:val="0"/>
                <w:sz w:val="17"/>
              </w:rPr>
              <w:t>API Create testée</w:t>
            </w:r>
          </w:p>
        </w:tc>
        <w:tc>
          <w:tcPr>
            <w:tcW w:type="dxa" w:w="5328"/>
            <w:vAlign w:val="top"/>
          </w:tcPr>
          <w:p>
            <w:r/>
            <w:r>
              <w:rPr>
                <w:b w:val="0"/>
                <w:sz w:val="17"/>
              </w:rPr>
              <w:t>OK</w:t>
            </w:r>
          </w:p>
        </w:tc>
      </w:tr>
      <w:tr>
        <w:tc>
          <w:tcPr>
            <w:tcW w:type="dxa" w:w="5328"/>
            <w:vAlign w:val="top"/>
          </w:tcPr>
          <w:p>
            <w:r/>
            <w:r>
              <w:rPr>
                <w:b w:val="0"/>
                <w:sz w:val="17"/>
              </w:rPr>
              <w:t>API Read list testée</w:t>
            </w:r>
          </w:p>
        </w:tc>
        <w:tc>
          <w:tcPr>
            <w:tcW w:type="dxa" w:w="5328"/>
            <w:vAlign w:val="top"/>
          </w:tcPr>
          <w:p>
            <w:r/>
            <w:r>
              <w:rPr>
                <w:b w:val="0"/>
                <w:sz w:val="17"/>
              </w:rPr>
              <w:t>OK</w:t>
            </w:r>
          </w:p>
        </w:tc>
      </w:tr>
      <w:tr>
        <w:tc>
          <w:tcPr>
            <w:tcW w:type="dxa" w:w="5328"/>
            <w:vAlign w:val="top"/>
          </w:tcPr>
          <w:p>
            <w:r/>
            <w:r>
              <w:rPr>
                <w:b w:val="0"/>
                <w:sz w:val="17"/>
              </w:rPr>
              <w:t>API Read detail testée</w:t>
            </w:r>
          </w:p>
        </w:tc>
        <w:tc>
          <w:tcPr>
            <w:tcW w:type="dxa" w:w="5328"/>
            <w:vAlign w:val="top"/>
          </w:tcPr>
          <w:p>
            <w:r/>
            <w:r>
              <w:rPr>
                <w:b w:val="0"/>
                <w:sz w:val="17"/>
              </w:rPr>
              <w:t>OK</w:t>
            </w:r>
          </w:p>
        </w:tc>
      </w:tr>
      <w:tr>
        <w:tc>
          <w:tcPr>
            <w:tcW w:type="dxa" w:w="5328"/>
            <w:vAlign w:val="top"/>
          </w:tcPr>
          <w:p>
            <w:r/>
            <w:r>
              <w:rPr>
                <w:b w:val="0"/>
                <w:sz w:val="17"/>
              </w:rPr>
              <w:t>API Update testée</w:t>
            </w:r>
          </w:p>
        </w:tc>
        <w:tc>
          <w:tcPr>
            <w:tcW w:type="dxa" w:w="5328"/>
            <w:vAlign w:val="top"/>
          </w:tcPr>
          <w:p>
            <w:r/>
            <w:r>
              <w:rPr>
                <w:b w:val="0"/>
                <w:sz w:val="17"/>
              </w:rPr>
              <w:t>OK</w:t>
            </w:r>
          </w:p>
        </w:tc>
      </w:tr>
      <w:tr>
        <w:tc>
          <w:tcPr>
            <w:tcW w:type="dxa" w:w="5328"/>
            <w:vAlign w:val="top"/>
          </w:tcPr>
          <w:p>
            <w:r/>
            <w:r>
              <w:rPr>
                <w:b w:val="0"/>
                <w:sz w:val="17"/>
              </w:rPr>
              <w:t>API Archive testée</w:t>
            </w:r>
          </w:p>
        </w:tc>
        <w:tc>
          <w:tcPr>
            <w:tcW w:type="dxa" w:w="5328"/>
            <w:vAlign w:val="top"/>
          </w:tcPr>
          <w:p>
            <w:r/>
            <w:r>
              <w:rPr>
                <w:b w:val="0"/>
                <w:sz w:val="17"/>
              </w:rPr>
              <w:t>OK</w:t>
            </w:r>
          </w:p>
        </w:tc>
      </w:tr>
      <w:tr>
        <w:tc>
          <w:tcPr>
            <w:tcW w:type="dxa" w:w="5328"/>
            <w:vAlign w:val="top"/>
          </w:tcPr>
          <w:p>
            <w:r/>
            <w:r>
              <w:rPr>
                <w:b w:val="0"/>
                <w:sz w:val="17"/>
              </w:rPr>
              <w:t>Formulaire création testé</w:t>
            </w:r>
          </w:p>
        </w:tc>
        <w:tc>
          <w:tcPr>
            <w:tcW w:type="dxa" w:w="5328"/>
            <w:vAlign w:val="top"/>
          </w:tcPr>
          <w:p>
            <w:r/>
            <w:r>
              <w:rPr>
                <w:b w:val="0"/>
                <w:sz w:val="17"/>
              </w:rPr>
              <w:t>OK</w:t>
            </w:r>
          </w:p>
        </w:tc>
      </w:tr>
      <w:tr>
        <w:tc>
          <w:tcPr>
            <w:tcW w:type="dxa" w:w="5328"/>
            <w:vAlign w:val="top"/>
          </w:tcPr>
          <w:p>
            <w:r/>
            <w:r>
              <w:rPr>
                <w:b w:val="0"/>
                <w:sz w:val="17"/>
              </w:rPr>
              <w:t>Formulaire édition testé</w:t>
            </w:r>
          </w:p>
        </w:tc>
        <w:tc>
          <w:tcPr>
            <w:tcW w:type="dxa" w:w="5328"/>
            <w:vAlign w:val="top"/>
          </w:tcPr>
          <w:p>
            <w:r/>
            <w:r>
              <w:rPr>
                <w:b w:val="0"/>
                <w:sz w:val="17"/>
              </w:rPr>
              <w:t>OK</w:t>
            </w:r>
          </w:p>
        </w:tc>
      </w:tr>
      <w:tr>
        <w:tc>
          <w:tcPr>
            <w:tcW w:type="dxa" w:w="5328"/>
            <w:vAlign w:val="top"/>
          </w:tcPr>
          <w:p>
            <w:r/>
            <w:r>
              <w:rPr>
                <w:b w:val="0"/>
                <w:sz w:val="17"/>
              </w:rPr>
              <w:t>Liste frontend testée</w:t>
            </w:r>
          </w:p>
        </w:tc>
        <w:tc>
          <w:tcPr>
            <w:tcW w:type="dxa" w:w="5328"/>
            <w:vAlign w:val="top"/>
          </w:tcPr>
          <w:p>
            <w:r/>
            <w:r>
              <w:rPr>
                <w:b w:val="0"/>
                <w:sz w:val="17"/>
              </w:rPr>
              <w:t>OK</w:t>
            </w:r>
          </w:p>
        </w:tc>
      </w:tr>
      <w:tr>
        <w:tc>
          <w:tcPr>
            <w:tcW w:type="dxa" w:w="5328"/>
            <w:vAlign w:val="top"/>
          </w:tcPr>
          <w:p>
            <w:r/>
            <w:r>
              <w:rPr>
                <w:b w:val="0"/>
                <w:sz w:val="17"/>
              </w:rPr>
              <w:t>Détail frontend testé</w:t>
            </w:r>
          </w:p>
        </w:tc>
        <w:tc>
          <w:tcPr>
            <w:tcW w:type="dxa" w:w="5328"/>
            <w:vAlign w:val="top"/>
          </w:tcPr>
          <w:p>
            <w:r/>
            <w:r>
              <w:rPr>
                <w:b w:val="0"/>
                <w:sz w:val="17"/>
              </w:rPr>
              <w:t>OK</w:t>
            </w:r>
          </w:p>
        </w:tc>
      </w:tr>
      <w:tr>
        <w:tc>
          <w:tcPr>
            <w:tcW w:type="dxa" w:w="5328"/>
            <w:vAlign w:val="top"/>
          </w:tcPr>
          <w:p>
            <w:r/>
            <w:r>
              <w:rPr>
                <w:b w:val="0"/>
                <w:sz w:val="17"/>
              </w:rPr>
              <w:t>Filtres testés</w:t>
            </w:r>
          </w:p>
        </w:tc>
        <w:tc>
          <w:tcPr>
            <w:tcW w:type="dxa" w:w="5328"/>
            <w:vAlign w:val="top"/>
          </w:tcPr>
          <w:p>
            <w:r/>
            <w:r>
              <w:rPr>
                <w:b w:val="0"/>
                <w:sz w:val="17"/>
              </w:rPr>
              <w:t>OK</w:t>
            </w:r>
          </w:p>
        </w:tc>
      </w:tr>
      <w:tr>
        <w:tc>
          <w:tcPr>
            <w:tcW w:type="dxa" w:w="5328"/>
            <w:vAlign w:val="top"/>
          </w:tcPr>
          <w:p>
            <w:r/>
            <w:r>
              <w:rPr>
                <w:b w:val="0"/>
                <w:sz w:val="17"/>
              </w:rPr>
              <w:t>Permissions testées</w:t>
            </w:r>
          </w:p>
        </w:tc>
        <w:tc>
          <w:tcPr>
            <w:tcW w:type="dxa" w:w="5328"/>
            <w:vAlign w:val="top"/>
          </w:tcPr>
          <w:p>
            <w:r/>
            <w:r>
              <w:rPr>
                <w:b w:val="0"/>
                <w:sz w:val="17"/>
              </w:rPr>
              <w:t>OK</w:t>
            </w:r>
          </w:p>
        </w:tc>
      </w:tr>
      <w:tr>
        <w:tc>
          <w:tcPr>
            <w:tcW w:type="dxa" w:w="5328"/>
            <w:vAlign w:val="top"/>
          </w:tcPr>
          <w:p>
            <w:r/>
            <w:r>
              <w:rPr>
                <w:b w:val="0"/>
                <w:sz w:val="17"/>
              </w:rPr>
              <w:t>Validation des champs testée</w:t>
            </w:r>
          </w:p>
        </w:tc>
        <w:tc>
          <w:tcPr>
            <w:tcW w:type="dxa" w:w="5328"/>
            <w:vAlign w:val="top"/>
          </w:tcPr>
          <w:p>
            <w:r/>
            <w:r>
              <w:rPr>
                <w:b w:val="0"/>
                <w:sz w:val="17"/>
              </w:rPr>
              <w:t>OK</w:t>
            </w:r>
          </w:p>
        </w:tc>
      </w:tr>
      <w:tr>
        <w:tc>
          <w:tcPr>
            <w:tcW w:type="dxa" w:w="5328"/>
            <w:vAlign w:val="top"/>
          </w:tcPr>
          <w:p>
            <w:r/>
            <w:r>
              <w:rPr>
                <w:b w:val="0"/>
                <w:sz w:val="17"/>
              </w:rPr>
              <w:t>Gestion des erreurs testée</w:t>
            </w:r>
          </w:p>
        </w:tc>
        <w:tc>
          <w:tcPr>
            <w:tcW w:type="dxa" w:w="5328"/>
            <w:vAlign w:val="top"/>
          </w:tcPr>
          <w:p>
            <w:r/>
            <w:r>
              <w:rPr>
                <w:b w:val="0"/>
                <w:sz w:val="17"/>
              </w:rPr>
              <w:t>OK</w:t>
            </w:r>
          </w:p>
        </w:tc>
      </w:tr>
      <w:tr>
        <w:tc>
          <w:tcPr>
            <w:tcW w:type="dxa" w:w="5328"/>
            <w:vAlign w:val="top"/>
          </w:tcPr>
          <w:p>
            <w:r/>
            <w:r>
              <w:rPr>
                <w:b w:val="0"/>
                <w:sz w:val="17"/>
              </w:rPr>
              <w:t>Journal d’audit testé</w:t>
            </w:r>
          </w:p>
        </w:tc>
        <w:tc>
          <w:tcPr>
            <w:tcW w:type="dxa" w:w="5328"/>
            <w:vAlign w:val="top"/>
          </w:tcPr>
          <w:p>
            <w:r/>
            <w:r>
              <w:rPr>
                <w:b w:val="0"/>
                <w:sz w:val="17"/>
              </w:rPr>
              <w:t>OK</w:t>
            </w:r>
          </w:p>
        </w:tc>
      </w:tr>
      <w:tr>
        <w:tc>
          <w:tcPr>
            <w:tcW w:type="dxa" w:w="5328"/>
            <w:vAlign w:val="top"/>
          </w:tcPr>
          <w:p>
            <w:r/>
            <w:r>
              <w:rPr>
                <w:b w:val="0"/>
                <w:sz w:val="17"/>
              </w:rPr>
              <w:t>Tests automatiques passés</w:t>
            </w:r>
          </w:p>
        </w:tc>
        <w:tc>
          <w:tcPr>
            <w:tcW w:type="dxa" w:w="5328"/>
            <w:vAlign w:val="top"/>
          </w:tcPr>
          <w:p>
            <w:r/>
            <w:r>
              <w:rPr>
                <w:b w:val="0"/>
                <w:sz w:val="17"/>
              </w:rPr>
              <w:t>OK</w:t>
            </w:r>
          </w:p>
        </w:tc>
      </w:tr>
      <w:tr>
        <w:tc>
          <w:tcPr>
            <w:tcW w:type="dxa" w:w="5328"/>
            <w:vAlign w:val="top"/>
          </w:tcPr>
          <w:p>
            <w:r/>
            <w:r>
              <w:rPr>
                <w:b w:val="0"/>
                <w:sz w:val="17"/>
              </w:rPr>
              <w:t>Bugs connus documentés</w:t>
            </w:r>
          </w:p>
        </w:tc>
        <w:tc>
          <w:tcPr>
            <w:tcW w:type="dxa" w:w="5328"/>
            <w:vAlign w:val="top"/>
          </w:tcPr>
          <w:p>
            <w:r/>
            <w:r>
              <w:rPr>
                <w:b w:val="0"/>
                <w:sz w:val="17"/>
              </w:rPr>
              <w:t>OK</w:t>
            </w:r>
          </w:p>
        </w:tc>
      </w:tr>
    </w:tbl>
    <w:p/>
    <w:p>
      <w:pPr>
        <w:pStyle w:val="Heading1"/>
      </w:pPr>
      <w:r>
        <w:t>17. Scénarios de recette fonctionnelle</w:t>
      </w:r>
    </w:p>
    <w:p>
      <w:pPr>
        <w:pStyle w:val="ListBullet"/>
      </w:pPr>
      <w:r>
        <w:t>Créer une activité PTA, la lier à AXE 3, à un domaine ACBF, puis vérifier son apparition dans le PTA individuel, le PTA consolidé, le Gantt et le tableau de bord.</w:t>
      </w:r>
    </w:p>
    <w:p>
      <w:pPr>
        <w:pStyle w:val="ListBullet"/>
      </w:pPr>
      <w:r>
        <w:t>Soumettre une activité à validation, vérifier les preuves, valider, puis contrôler le verrouillage et le journal d’audit.</w:t>
      </w:r>
    </w:p>
    <w:p>
      <w:pPr>
        <w:pStyle w:val="ListBullet"/>
      </w:pPr>
      <w:r>
        <w:t>Créer une activité en retard, vérifier son classement automatique dans les alertes, le dashboard et le rapport des retards.</w:t>
      </w:r>
    </w:p>
    <w:p>
      <w:pPr>
        <w:pStyle w:val="ListBullet"/>
      </w:pPr>
      <w:r>
        <w:t>Exporter un PTA consolidé en Excel, un rapport en Word/PDF et un Gantt en fichier exploitable.</w:t>
      </w:r>
    </w:p>
    <w:p>
      <w:pPr>
        <w:pStyle w:val="ListBullet"/>
      </w:pPr>
      <w:r>
        <w:t>Tester les droits : un lecteur ne modifie rien, un responsable modifie son périmètre, un validateur valide son périmètre, un administrateur gère tout.</w:t>
      </w:r>
    </w:p>
    <w:p>
      <w:pPr>
        <w:pStyle w:val="Heading1"/>
      </w:pPr>
      <w:r>
        <w:t>18. Recommandation stratégique</w:t>
      </w:r>
    </w:p>
    <w:p>
      <w:r>
        <w:t>Commencer par un MVP interne robuste centré sur PTA + MEAL + ACBF + Dashboard + Preuves + Reporting. Ensuite seulement, élargir vers la plateforme intelligente : observatoire WASH, benchmarking, portail membres, formations, événements, partenariats et IA.</w:t>
      </w:r>
    </w:p>
    <w:p>
      <w:pPr>
        <w:pStyle w:val="Heading1"/>
      </w:pPr>
      <w:r>
        <w:t>19. Prompt maître à donner à l’agent fullstack</w:t>
      </w:r>
    </w:p>
    <w:p>
      <w:pPr>
        <w:spacing w:after="0"/>
        <w:ind w:left="288" w:right="288"/>
      </w:pPr>
      <w:r>
        <w:rPr>
          <w:rFonts w:ascii="Consolas" w:hAnsi="Consolas"/>
          <w:sz w:val="15"/>
        </w:rPr>
        <w:t>Tu es un agent IA fullstack senior chargé de construire l’application AAEA Pilotage 360.</w:t>
      </w:r>
    </w:p>
    <w:p>
      <w:pPr>
        <w:spacing w:after="0"/>
        <w:ind w:left="288" w:right="288"/>
      </w:pPr>
      <w:r>
        <w:rPr>
          <w:rFonts w:ascii="Consolas" w:hAnsi="Consolas"/>
          <w:sz w:val="15"/>
        </w:rPr>
      </w:r>
    </w:p>
    <w:p>
      <w:pPr>
        <w:spacing w:after="0"/>
        <w:ind w:left="288" w:right="288"/>
      </w:pPr>
      <w:r>
        <w:rPr>
          <w:rFonts w:ascii="Consolas" w:hAnsi="Consolas"/>
          <w:sz w:val="15"/>
        </w:rPr>
        <w:t>OBJECTIF GÉNÉRAL</w:t>
      </w:r>
    </w:p>
    <w:p>
      <w:pPr>
        <w:spacing w:after="0"/>
        <w:ind w:left="288" w:right="288"/>
      </w:pPr>
      <w:r>
        <w:rPr>
          <w:rFonts w:ascii="Consolas" w:hAnsi="Consolas"/>
          <w:sz w:val="15"/>
        </w:rPr>
        <w:t>Construire une application web institutionnelle complète, sécurisée, modulaire et entièrement CRUD permettant de transformer le fichier maître PTA/ACBF/MEAL/Gantt/RACI/tableau de bord de l’AAEA en une plateforme numérique de pilotage institutionnel.</w:t>
      </w:r>
    </w:p>
    <w:p>
      <w:pPr>
        <w:spacing w:after="0"/>
        <w:ind w:left="288" w:right="288"/>
      </w:pPr>
      <w:r>
        <w:rPr>
          <w:rFonts w:ascii="Consolas" w:hAnsi="Consolas"/>
          <w:sz w:val="15"/>
        </w:rPr>
      </w:r>
    </w:p>
    <w:p>
      <w:pPr>
        <w:spacing w:after="0"/>
        <w:ind w:left="288" w:right="288"/>
      </w:pPr>
      <w:r>
        <w:rPr>
          <w:rFonts w:ascii="Consolas" w:hAnsi="Consolas"/>
          <w:sz w:val="15"/>
        </w:rPr>
        <w:t>STACK TECHNIQUE CIBLE</w:t>
      </w:r>
    </w:p>
    <w:p>
      <w:pPr>
        <w:spacing w:after="0"/>
        <w:ind w:left="288" w:right="288"/>
      </w:pPr>
      <w:r>
        <w:rPr>
          <w:rFonts w:ascii="Consolas" w:hAnsi="Consolas"/>
          <w:sz w:val="15"/>
        </w:rPr>
        <w:t>Next.js 16 API</w:t>
      </w:r>
    </w:p>
    <w:p>
      <w:pPr>
        <w:spacing w:after="0"/>
        <w:ind w:left="288" w:right="288"/>
      </w:pPr>
      <w:r>
        <w:rPr>
          <w:rFonts w:ascii="Consolas" w:hAnsi="Consolas"/>
          <w:sz w:val="15"/>
        </w:rPr>
      </w:r>
    </w:p>
    <w:p>
      <w:pPr>
        <w:spacing w:after="0"/>
        <w:ind w:left="288" w:right="288"/>
      </w:pPr>
      <w:r>
        <w:rPr>
          <w:rFonts w:ascii="Consolas" w:hAnsi="Consolas"/>
          <w:sz w:val="15"/>
        </w:rPr>
        <w:t>RÈGLE FONDAMENTALE</w:t>
      </w:r>
    </w:p>
    <w:p>
      <w:pPr>
        <w:spacing w:after="0"/>
        <w:ind w:left="288" w:right="288"/>
      </w:pPr>
      <w:r>
        <w:rPr>
          <w:rFonts w:ascii="Consolas" w:hAnsi="Consolas"/>
          <w:sz w:val="15"/>
        </w:rPr>
        <w:t>Tous les modules qui manipulent des données doivent être CRUD : Create, Read list, Read detail, Update, Archive/Soft delete. Aucune suppression définitive ne doit être proposée hors super administration. Aucun module ne peut être déclaré terminé sans API fonctionnelle, interface connectée, persistance en base, contrôle des droits, tests CRUD, gestion des erreurs et validation utilisateur.</w:t>
      </w:r>
    </w:p>
    <w:p>
      <w:pPr>
        <w:spacing w:after="0"/>
        <w:ind w:left="288" w:right="288"/>
      </w:pPr>
      <w:r>
        <w:rPr>
          <w:rFonts w:ascii="Consolas" w:hAnsi="Consolas"/>
          <w:sz w:val="15"/>
        </w:rPr>
      </w:r>
    </w:p>
    <w:p>
      <w:pPr>
        <w:spacing w:after="0"/>
        <w:ind w:left="288" w:right="288"/>
      </w:pPr>
      <w:r>
        <w:rPr>
          <w:rFonts w:ascii="Consolas" w:hAnsi="Consolas"/>
          <w:sz w:val="15"/>
        </w:rPr>
        <w:t>MODULES OFFICIELS À DÉVELOPPER</w:t>
      </w:r>
    </w:p>
    <w:p>
      <w:pPr>
        <w:spacing w:after="0"/>
        <w:ind w:left="288" w:right="288"/>
      </w:pPr>
      <w:r>
        <w:rPr>
          <w:rFonts w:ascii="Consolas" w:hAnsi="Consolas"/>
          <w:sz w:val="15"/>
        </w:rPr>
        <w:t>1. Authentification et gestion des rôles</w:t>
      </w:r>
    </w:p>
    <w:p>
      <w:pPr>
        <w:spacing w:after="0"/>
        <w:ind w:left="288" w:right="288"/>
      </w:pPr>
      <w:r>
        <w:rPr>
          <w:rFonts w:ascii="Consolas" w:hAnsi="Consolas"/>
          <w:sz w:val="15"/>
        </w:rPr>
        <w:t>2. Administration organisationnelle AAEA</w:t>
      </w:r>
    </w:p>
    <w:p>
      <w:pPr>
        <w:spacing w:after="0"/>
        <w:ind w:left="288" w:right="288"/>
      </w:pPr>
      <w:r>
        <w:rPr>
          <w:rFonts w:ascii="Consolas" w:hAnsi="Consolas"/>
          <w:sz w:val="15"/>
        </w:rPr>
        <w:t>3. Référentiel stratégique</w:t>
      </w:r>
    </w:p>
    <w:p>
      <w:pPr>
        <w:spacing w:after="0"/>
        <w:ind w:left="288" w:right="288"/>
      </w:pPr>
      <w:r>
        <w:rPr>
          <w:rFonts w:ascii="Consolas" w:hAnsi="Consolas"/>
          <w:sz w:val="15"/>
        </w:rPr>
        <w:t>4. Référentiel ACBF</w:t>
      </w:r>
    </w:p>
    <w:p>
      <w:pPr>
        <w:spacing w:after="0"/>
        <w:ind w:left="288" w:right="288"/>
      </w:pPr>
      <w:r>
        <w:rPr>
          <w:rFonts w:ascii="Consolas" w:hAnsi="Consolas"/>
          <w:sz w:val="15"/>
        </w:rPr>
        <w:t>5. Gestion des PTA individuels</w:t>
      </w:r>
    </w:p>
    <w:p>
      <w:pPr>
        <w:spacing w:after="0"/>
        <w:ind w:left="288" w:right="288"/>
      </w:pPr>
      <w:r>
        <w:rPr>
          <w:rFonts w:ascii="Consolas" w:hAnsi="Consolas"/>
          <w:sz w:val="15"/>
        </w:rPr>
        <w:t>6. PTA consolidé AAEA</w:t>
      </w:r>
    </w:p>
    <w:p>
      <w:pPr>
        <w:spacing w:after="0"/>
        <w:ind w:left="288" w:right="288"/>
      </w:pPr>
      <w:r>
        <w:rPr>
          <w:rFonts w:ascii="Consolas" w:hAnsi="Consolas"/>
          <w:sz w:val="15"/>
        </w:rPr>
        <w:t>7. Matrice RACI</w:t>
      </w:r>
    </w:p>
    <w:p>
      <w:pPr>
        <w:spacing w:after="0"/>
        <w:ind w:left="288" w:right="288"/>
      </w:pPr>
      <w:r>
        <w:rPr>
          <w:rFonts w:ascii="Consolas" w:hAnsi="Consolas"/>
          <w:sz w:val="15"/>
        </w:rPr>
        <w:t>8. Gantt dynamique</w:t>
      </w:r>
    </w:p>
    <w:p>
      <w:pPr>
        <w:spacing w:after="0"/>
        <w:ind w:left="288" w:right="288"/>
      </w:pPr>
      <w:r>
        <w:rPr>
          <w:rFonts w:ascii="Consolas" w:hAnsi="Consolas"/>
          <w:sz w:val="15"/>
        </w:rPr>
        <w:t>9. Tableau de bord</w:t>
      </w:r>
    </w:p>
    <w:p>
      <w:pPr>
        <w:spacing w:after="0"/>
        <w:ind w:left="288" w:right="288"/>
      </w:pPr>
      <w:r>
        <w:rPr>
          <w:rFonts w:ascii="Consolas" w:hAnsi="Consolas"/>
          <w:sz w:val="15"/>
        </w:rPr>
        <w:t>10. Gestion documentaire et preuves</w:t>
      </w:r>
    </w:p>
    <w:p>
      <w:pPr>
        <w:spacing w:after="0"/>
        <w:ind w:left="288" w:right="288"/>
      </w:pPr>
      <w:r>
        <w:rPr>
          <w:rFonts w:ascii="Consolas" w:hAnsi="Consolas"/>
          <w:sz w:val="15"/>
        </w:rPr>
        <w:t>11. Reporting automatique</w:t>
      </w:r>
    </w:p>
    <w:p>
      <w:pPr>
        <w:spacing w:after="0"/>
        <w:ind w:left="288" w:right="288"/>
      </w:pPr>
      <w:r>
        <w:rPr>
          <w:rFonts w:ascii="Consolas" w:hAnsi="Consolas"/>
          <w:sz w:val="15"/>
        </w:rPr>
        <w:t>12. Notifications et alertes</w:t>
      </w:r>
    </w:p>
    <w:p>
      <w:pPr>
        <w:spacing w:after="0"/>
        <w:ind w:left="288" w:right="288"/>
      </w:pPr>
      <w:r>
        <w:rPr>
          <w:rFonts w:ascii="Consolas" w:hAnsi="Consolas"/>
          <w:sz w:val="15"/>
        </w:rPr>
        <w:t>13. Journal d’audit</w:t>
      </w:r>
    </w:p>
    <w:p>
      <w:pPr>
        <w:spacing w:after="0"/>
        <w:ind w:left="288" w:right="288"/>
      </w:pPr>
      <w:r>
        <w:rPr>
          <w:rFonts w:ascii="Consolas" w:hAnsi="Consolas"/>
          <w:sz w:val="15"/>
        </w:rPr>
        <w:t>14. Import Excel</w:t>
      </w:r>
    </w:p>
    <w:p>
      <w:pPr>
        <w:spacing w:after="0"/>
        <w:ind w:left="288" w:right="288"/>
      </w:pPr>
      <w:r>
        <w:rPr>
          <w:rFonts w:ascii="Consolas" w:hAnsi="Consolas"/>
          <w:sz w:val="15"/>
        </w:rPr>
        <w:t>15. Exports PDF, Excel et Word</w:t>
      </w:r>
    </w:p>
    <w:p>
      <w:pPr>
        <w:spacing w:after="0"/>
        <w:ind w:left="288" w:right="288"/>
      </w:pPr>
      <w:r>
        <w:rPr>
          <w:rFonts w:ascii="Consolas" w:hAnsi="Consolas"/>
          <w:sz w:val="15"/>
        </w:rPr>
      </w:r>
    </w:p>
    <w:p>
      <w:pPr>
        <w:spacing w:after="0"/>
        <w:ind w:left="288" w:right="288"/>
      </w:pPr>
      <w:r>
        <w:rPr>
          <w:rFonts w:ascii="Consolas" w:hAnsi="Consolas"/>
          <w:sz w:val="15"/>
        </w:rPr>
        <w:t>AXES STRATÉGIQUES OFFICIELS À UTILISER</w:t>
      </w:r>
    </w:p>
    <w:p>
      <w:pPr>
        <w:spacing w:after="0"/>
        <w:ind w:left="288" w:right="288"/>
      </w:pPr>
      <w:r>
        <w:rPr>
          <w:rFonts w:ascii="Consolas" w:hAnsi="Consolas"/>
          <w:sz w:val="15"/>
        </w:rPr>
        <w:t>AXE 1 — Renforcement des capacités : renforcer durablement les compétences techniques, managériales, institutionnelles et de plaidoyer des acteurs WASH.</w:t>
      </w:r>
    </w:p>
    <w:p>
      <w:pPr>
        <w:spacing w:after="0"/>
        <w:ind w:left="288" w:right="288"/>
      </w:pPr>
      <w:r>
        <w:rPr>
          <w:rFonts w:ascii="Consolas" w:hAnsi="Consolas"/>
          <w:sz w:val="15"/>
        </w:rPr>
        <w:t>AXE 2 — Développement des services : structurer et déployer une offre intégrée de services à forte valeur ajoutée pour les membres, institutions et partenaires.</w:t>
      </w:r>
    </w:p>
    <w:p>
      <w:pPr>
        <w:spacing w:after="0"/>
        <w:ind w:left="288" w:right="288"/>
      </w:pPr>
      <w:r>
        <w:rPr>
          <w:rFonts w:ascii="Consolas" w:hAnsi="Consolas"/>
          <w:sz w:val="15"/>
        </w:rPr>
        <w:t>AXE 3 — Données et innovation : faire de la donnée, de l’innovation et du numérique des leviers de performance, redevabilité et plaidoyer sectoriel.</w:t>
      </w:r>
    </w:p>
    <w:p>
      <w:pPr>
        <w:spacing w:after="0"/>
        <w:ind w:left="288" w:right="288"/>
      </w:pPr>
      <w:r>
        <w:rPr>
          <w:rFonts w:ascii="Consolas" w:hAnsi="Consolas"/>
          <w:sz w:val="15"/>
        </w:rPr>
        <w:t>AXE 4 — Développement de partenariat : consolider, structurer et élargir les partenariats institutionnels, techniques et financiers de l’AAEA.</w:t>
      </w:r>
    </w:p>
    <w:p>
      <w:pPr>
        <w:spacing w:after="0"/>
        <w:ind w:left="288" w:right="288"/>
      </w:pPr>
      <w:r>
        <w:rPr>
          <w:rFonts w:ascii="Consolas" w:hAnsi="Consolas"/>
          <w:sz w:val="15"/>
        </w:rPr>
        <w:t>AXE 5 — Gouvernance et durabilité institutionnelle : renforcer la gouvernance, la conformité, la performance organisationnelle et la durabilité financière de l’AAEA.</w:t>
      </w:r>
    </w:p>
    <w:p>
      <w:pPr>
        <w:spacing w:after="0"/>
        <w:ind w:left="288" w:right="288"/>
      </w:pPr>
      <w:r>
        <w:rPr>
          <w:rFonts w:ascii="Consolas" w:hAnsi="Consolas"/>
          <w:sz w:val="15"/>
        </w:rPr>
      </w:r>
    </w:p>
    <w:p>
      <w:pPr>
        <w:spacing w:after="0"/>
        <w:ind w:left="288" w:right="288"/>
      </w:pPr>
      <w:r>
        <w:rPr>
          <w:rFonts w:ascii="Consolas" w:hAnsi="Consolas"/>
          <w:sz w:val="15"/>
        </w:rPr>
        <w:t>DOMAINES ACBF À UTILISER</w:t>
      </w:r>
    </w:p>
    <w:p>
      <w:pPr>
        <w:spacing w:after="0"/>
        <w:ind w:left="288" w:right="288"/>
      </w:pPr>
      <w:r>
        <w:rPr>
          <w:rFonts w:ascii="Consolas" w:hAnsi="Consolas"/>
          <w:sz w:val="15"/>
        </w:rPr>
        <w:t>1. Governance &amp; Organizational Structure</w:t>
      </w:r>
    </w:p>
    <w:p>
      <w:pPr>
        <w:spacing w:after="0"/>
        <w:ind w:left="288" w:right="288"/>
      </w:pPr>
      <w:r>
        <w:rPr>
          <w:rFonts w:ascii="Consolas" w:hAnsi="Consolas"/>
          <w:sz w:val="15"/>
        </w:rPr>
        <w:t>2. Strategic &amp; Operational Planning</w:t>
      </w:r>
    </w:p>
    <w:p>
      <w:pPr>
        <w:spacing w:after="0"/>
        <w:ind w:left="288" w:right="288"/>
      </w:pPr>
      <w:r>
        <w:rPr>
          <w:rFonts w:ascii="Consolas" w:hAnsi="Consolas"/>
          <w:sz w:val="15"/>
        </w:rPr>
        <w:t>3. Program &amp; Project Management</w:t>
      </w:r>
    </w:p>
    <w:p>
      <w:pPr>
        <w:spacing w:after="0"/>
        <w:ind w:left="288" w:right="288"/>
      </w:pPr>
      <w:r>
        <w:rPr>
          <w:rFonts w:ascii="Consolas" w:hAnsi="Consolas"/>
          <w:sz w:val="15"/>
        </w:rPr>
        <w:t>4. Monitoring, Evaluation, Accountability &amp; Learning — MEAL</w:t>
      </w:r>
    </w:p>
    <w:p>
      <w:pPr>
        <w:spacing w:after="0"/>
        <w:ind w:left="288" w:right="288"/>
      </w:pPr>
      <w:r>
        <w:rPr>
          <w:rFonts w:ascii="Consolas" w:hAnsi="Consolas"/>
          <w:sz w:val="15"/>
        </w:rPr>
        <w:t>5. Human Resources &amp; Leadership</w:t>
      </w:r>
    </w:p>
    <w:p>
      <w:pPr>
        <w:spacing w:after="0"/>
        <w:ind w:left="288" w:right="288"/>
      </w:pPr>
      <w:r>
        <w:rPr>
          <w:rFonts w:ascii="Consolas" w:hAnsi="Consolas"/>
          <w:sz w:val="15"/>
        </w:rPr>
        <w:t>6. Financial Management &amp; Compliance</w:t>
      </w:r>
    </w:p>
    <w:p>
      <w:pPr>
        <w:spacing w:after="0"/>
        <w:ind w:left="288" w:right="288"/>
      </w:pPr>
      <w:r>
        <w:rPr>
          <w:rFonts w:ascii="Consolas" w:hAnsi="Consolas"/>
          <w:sz w:val="15"/>
        </w:rPr>
        <w:t>7. Administrative &amp; Operational Systems</w:t>
      </w:r>
    </w:p>
    <w:p>
      <w:pPr>
        <w:spacing w:after="0"/>
        <w:ind w:left="288" w:right="288"/>
      </w:pPr>
      <w:r>
        <w:rPr>
          <w:rFonts w:ascii="Consolas" w:hAnsi="Consolas"/>
          <w:sz w:val="15"/>
        </w:rPr>
        <w:t>8. ICT, Digital Systems &amp; Infrastructure</w:t>
      </w:r>
    </w:p>
    <w:p>
      <w:pPr>
        <w:spacing w:after="0"/>
        <w:ind w:left="288" w:right="288"/>
      </w:pPr>
      <w:r>
        <w:rPr>
          <w:rFonts w:ascii="Consolas" w:hAnsi="Consolas"/>
          <w:sz w:val="15"/>
        </w:rPr>
        <w:t>9. Communications, Advocacy &amp; Visibility</w:t>
      </w:r>
    </w:p>
    <w:p>
      <w:pPr>
        <w:spacing w:after="0"/>
        <w:ind w:left="288" w:right="288"/>
      </w:pPr>
      <w:r>
        <w:rPr>
          <w:rFonts w:ascii="Consolas" w:hAnsi="Consolas"/>
          <w:sz w:val="15"/>
        </w:rPr>
        <w:t>10. Membership &amp; Stakeholder Management</w:t>
      </w:r>
    </w:p>
    <w:p>
      <w:pPr>
        <w:spacing w:after="0"/>
        <w:ind w:left="288" w:right="288"/>
      </w:pPr>
      <w:r>
        <w:rPr>
          <w:rFonts w:ascii="Consolas" w:hAnsi="Consolas"/>
          <w:sz w:val="15"/>
        </w:rPr>
        <w:t>11. Sustainability, Resource Mobilization &amp; Partnerships</w:t>
      </w:r>
    </w:p>
    <w:p>
      <w:pPr>
        <w:spacing w:after="0"/>
        <w:ind w:left="288" w:right="288"/>
      </w:pPr>
      <w:r>
        <w:rPr>
          <w:rFonts w:ascii="Consolas" w:hAnsi="Consolas"/>
          <w:sz w:val="15"/>
        </w:rPr>
        <w:t>12. Legal &amp; Compliance</w:t>
      </w:r>
    </w:p>
    <w:p>
      <w:pPr>
        <w:spacing w:after="0"/>
        <w:ind w:left="288" w:right="288"/>
      </w:pPr>
      <w:r>
        <w:rPr>
          <w:rFonts w:ascii="Consolas" w:hAnsi="Consolas"/>
          <w:sz w:val="15"/>
        </w:rPr>
        <w:t>13. Research and Knowledge Management</w:t>
      </w:r>
    </w:p>
    <w:p>
      <w:pPr>
        <w:spacing w:after="0"/>
        <w:ind w:left="288" w:right="288"/>
      </w:pPr>
      <w:r>
        <w:rPr>
          <w:rFonts w:ascii="Consolas" w:hAnsi="Consolas"/>
          <w:sz w:val="15"/>
        </w:rPr>
        <w:t>14. Optional / Supporting Documents</w:t>
      </w:r>
    </w:p>
    <w:p>
      <w:pPr>
        <w:spacing w:after="0"/>
        <w:ind w:left="288" w:right="288"/>
      </w:pPr>
      <w:r>
        <w:rPr>
          <w:rFonts w:ascii="Consolas" w:hAnsi="Consolas"/>
          <w:sz w:val="15"/>
        </w:rPr>
      </w:r>
    </w:p>
    <w:p>
      <w:pPr>
        <w:spacing w:after="0"/>
        <w:ind w:left="288" w:right="288"/>
      </w:pPr>
      <w:r>
        <w:rPr>
          <w:rFonts w:ascii="Consolas" w:hAnsi="Consolas"/>
          <w:sz w:val="15"/>
        </w:rPr>
        <w:t>DIRECTIONS AUTORISÉES</w:t>
      </w:r>
    </w:p>
    <w:p>
      <w:pPr>
        <w:spacing w:after="0"/>
        <w:ind w:left="288" w:right="288"/>
      </w:pPr>
      <w:r>
        <w:rPr>
          <w:rFonts w:ascii="Consolas" w:hAnsi="Consolas"/>
          <w:sz w:val="15"/>
        </w:rPr>
        <w:t>1. Cabinet Direction Exécutive</w:t>
      </w:r>
    </w:p>
    <w:p>
      <w:pPr>
        <w:spacing w:after="0"/>
        <w:ind w:left="288" w:right="288"/>
      </w:pPr>
      <w:r>
        <w:rPr>
          <w:rFonts w:ascii="Consolas" w:hAnsi="Consolas"/>
          <w:sz w:val="15"/>
        </w:rPr>
        <w:t>2. Direction des Services aux Membres et des Programmes</w:t>
      </w:r>
    </w:p>
    <w:p>
      <w:pPr>
        <w:spacing w:after="0"/>
        <w:ind w:left="288" w:right="288"/>
      </w:pPr>
      <w:r>
        <w:rPr>
          <w:rFonts w:ascii="Consolas" w:hAnsi="Consolas"/>
          <w:sz w:val="15"/>
        </w:rPr>
        <w:t>3. Direction Administrative et Financière</w:t>
      </w:r>
    </w:p>
    <w:p>
      <w:pPr>
        <w:spacing w:after="0"/>
        <w:ind w:left="288" w:right="288"/>
      </w:pPr>
      <w:r>
        <w:rPr>
          <w:rFonts w:ascii="Consolas" w:hAnsi="Consolas"/>
          <w:sz w:val="15"/>
        </w:rPr>
      </w:r>
    </w:p>
    <w:p>
      <w:pPr>
        <w:spacing w:after="0"/>
        <w:ind w:left="288" w:right="288"/>
      </w:pPr>
      <w:r>
        <w:rPr>
          <w:rFonts w:ascii="Consolas" w:hAnsi="Consolas"/>
          <w:sz w:val="15"/>
        </w:rPr>
        <w:t>STATUTS DES ACTIVITÉS</w:t>
      </w:r>
    </w:p>
    <w:p>
      <w:pPr>
        <w:spacing w:after="0"/>
        <w:ind w:left="288" w:right="288"/>
      </w:pPr>
      <w:r>
        <w:rPr>
          <w:rFonts w:ascii="Consolas" w:hAnsi="Consolas"/>
          <w:sz w:val="15"/>
        </w:rPr>
        <w:t>Non démarré; En cours; Réalisé; En retard; Suspendu; À reprogrammer.</w:t>
      </w:r>
    </w:p>
    <w:p>
      <w:pPr>
        <w:spacing w:after="0"/>
        <w:ind w:left="288" w:right="288"/>
      </w:pPr>
      <w:r>
        <w:rPr>
          <w:rFonts w:ascii="Consolas" w:hAnsi="Consolas"/>
          <w:sz w:val="15"/>
        </w:rPr>
      </w:r>
    </w:p>
    <w:p>
      <w:pPr>
        <w:spacing w:after="0"/>
        <w:ind w:left="288" w:right="288"/>
      </w:pPr>
      <w:r>
        <w:rPr>
          <w:rFonts w:ascii="Consolas" w:hAnsi="Consolas"/>
          <w:sz w:val="15"/>
        </w:rPr>
        <w:t>PRIORITÉS</w:t>
      </w:r>
    </w:p>
    <w:p>
      <w:pPr>
        <w:spacing w:after="0"/>
        <w:ind w:left="288" w:right="288"/>
      </w:pPr>
      <w:r>
        <w:rPr>
          <w:rFonts w:ascii="Consolas" w:hAnsi="Consolas"/>
          <w:sz w:val="15"/>
        </w:rPr>
        <w:t>Haute; Moyenne; Basse.</w:t>
      </w:r>
    </w:p>
    <w:p>
      <w:pPr>
        <w:spacing w:after="0"/>
        <w:ind w:left="288" w:right="288"/>
      </w:pPr>
      <w:r>
        <w:rPr>
          <w:rFonts w:ascii="Consolas" w:hAnsi="Consolas"/>
          <w:sz w:val="15"/>
        </w:rPr>
      </w:r>
    </w:p>
    <w:p>
      <w:pPr>
        <w:spacing w:after="0"/>
        <w:ind w:left="288" w:right="288"/>
      </w:pPr>
      <w:r>
        <w:rPr>
          <w:rFonts w:ascii="Consolas" w:hAnsi="Consolas"/>
          <w:sz w:val="15"/>
        </w:rPr>
        <w:t>MÉTHODE OBLIGATOIRE</w:t>
      </w:r>
    </w:p>
    <w:p>
      <w:pPr>
        <w:spacing w:after="0"/>
        <w:ind w:left="288" w:right="288"/>
      </w:pPr>
      <w:r>
        <w:rPr>
          <w:rFonts w:ascii="Consolas" w:hAnsi="Consolas"/>
          <w:sz w:val="15"/>
        </w:rPr>
        <w:t>1. Lire le cahier des charges complet avant de coder.</w:t>
      </w:r>
    </w:p>
    <w:p>
      <w:pPr>
        <w:spacing w:after="0"/>
        <w:ind w:left="288" w:right="288"/>
      </w:pPr>
      <w:r>
        <w:rPr>
          <w:rFonts w:ascii="Consolas" w:hAnsi="Consolas"/>
          <w:sz w:val="15"/>
        </w:rPr>
        <w:t>2. Ne pas développer toute l’application en une seule fois.</w:t>
      </w:r>
    </w:p>
    <w:p>
      <w:pPr>
        <w:spacing w:after="0"/>
        <w:ind w:left="288" w:right="288"/>
      </w:pPr>
      <w:r>
        <w:rPr>
          <w:rFonts w:ascii="Consolas" w:hAnsi="Consolas"/>
          <w:sz w:val="15"/>
        </w:rPr>
        <w:t>3. Commencer par le module 1 uniquement.</w:t>
      </w:r>
    </w:p>
    <w:p>
      <w:pPr>
        <w:spacing w:after="0"/>
        <w:ind w:left="288" w:right="288"/>
      </w:pPr>
      <w:r>
        <w:rPr>
          <w:rFonts w:ascii="Consolas" w:hAnsi="Consolas"/>
          <w:sz w:val="15"/>
        </w:rPr>
        <w:t>4. Pour chaque module, produire : modèle de données, routes API, écrans frontend, règles de permissions, validations, tests, matrice CRUD et rapport de validation.</w:t>
      </w:r>
    </w:p>
    <w:p>
      <w:pPr>
        <w:spacing w:after="0"/>
        <w:ind w:left="288" w:right="288"/>
      </w:pPr>
      <w:r>
        <w:rPr>
          <w:rFonts w:ascii="Consolas" w:hAnsi="Consolas"/>
          <w:sz w:val="15"/>
        </w:rPr>
        <w:t>5. Ne pas passer au module suivant sans validation humaine explicite.</w:t>
      </w:r>
    </w:p>
    <w:p>
      <w:pPr>
        <w:spacing w:after="0"/>
        <w:ind w:left="288" w:right="288"/>
      </w:pPr>
      <w:r>
        <w:rPr>
          <w:rFonts w:ascii="Consolas" w:hAnsi="Consolas"/>
          <w:sz w:val="15"/>
        </w:rPr>
        <w:t>6. Chaque route API doit être testée.</w:t>
      </w:r>
    </w:p>
    <w:p>
      <w:pPr>
        <w:spacing w:after="0"/>
        <w:ind w:left="288" w:right="288"/>
      </w:pPr>
      <w:r>
        <w:rPr>
          <w:rFonts w:ascii="Consolas" w:hAnsi="Consolas"/>
          <w:sz w:val="15"/>
        </w:rPr>
        <w:t>7. Chaque bouton frontend doit être connecté à une vraie API.</w:t>
      </w:r>
    </w:p>
    <w:p>
      <w:pPr>
        <w:spacing w:after="0"/>
        <w:ind w:left="288" w:right="288"/>
      </w:pPr>
      <w:r>
        <w:rPr>
          <w:rFonts w:ascii="Consolas" w:hAnsi="Consolas"/>
          <w:sz w:val="15"/>
        </w:rPr>
        <w:t>8. Chaque formulaire doit valider les champs obligatoires.</w:t>
      </w:r>
    </w:p>
    <w:p>
      <w:pPr>
        <w:spacing w:after="0"/>
        <w:ind w:left="288" w:right="288"/>
      </w:pPr>
      <w:r>
        <w:rPr>
          <w:rFonts w:ascii="Consolas" w:hAnsi="Consolas"/>
          <w:sz w:val="15"/>
        </w:rPr>
        <w:t>9. Chaque action sensible doit être journalisée dans audit_logs.</w:t>
      </w:r>
    </w:p>
    <w:p>
      <w:pPr>
        <w:spacing w:after="0"/>
        <w:ind w:left="288" w:right="288"/>
      </w:pPr>
      <w:r>
        <w:rPr>
          <w:rFonts w:ascii="Consolas" w:hAnsi="Consolas"/>
          <w:sz w:val="15"/>
        </w:rPr>
        <w:t>10. Chaque activité validée doit être verrouillée.</w:t>
      </w:r>
    </w:p>
    <w:p>
      <w:pPr>
        <w:spacing w:after="0"/>
        <w:ind w:left="288" w:right="288"/>
      </w:pPr>
      <w:r>
        <w:rPr>
          <w:rFonts w:ascii="Consolas" w:hAnsi="Consolas"/>
          <w:sz w:val="15"/>
        </w:rPr>
        <w:t>11. Les dashboards doivent être calculés depuis les données réelles.</w:t>
      </w:r>
    </w:p>
    <w:p>
      <w:pPr>
        <w:spacing w:after="0"/>
        <w:ind w:left="288" w:right="288"/>
      </w:pPr>
      <w:r>
        <w:rPr>
          <w:rFonts w:ascii="Consolas" w:hAnsi="Consolas"/>
          <w:sz w:val="15"/>
        </w:rPr>
        <w:t>12. Les imports doivent produire un rapport d’erreurs.</w:t>
      </w:r>
    </w:p>
    <w:p>
      <w:pPr>
        <w:spacing w:after="0"/>
        <w:ind w:left="288" w:right="288"/>
      </w:pPr>
      <w:r>
        <w:rPr>
          <w:rFonts w:ascii="Consolas" w:hAnsi="Consolas"/>
          <w:sz w:val="15"/>
        </w:rPr>
        <w:t>13. Les exports doivent être testés avec des données réelles.</w:t>
      </w:r>
    </w:p>
    <w:p>
      <w:pPr>
        <w:spacing w:after="0"/>
        <w:ind w:left="288" w:right="288"/>
      </w:pPr>
      <w:r>
        <w:rPr>
          <w:rFonts w:ascii="Consolas" w:hAnsi="Consolas"/>
          <w:sz w:val="15"/>
        </w:rPr>
        <w:t>14. Les données archivées ne doivent pas apparaître par défaut.</w:t>
      </w:r>
    </w:p>
    <w:p>
      <w:pPr>
        <w:spacing w:after="0"/>
        <w:ind w:left="288" w:right="288"/>
      </w:pPr>
      <w:r>
        <w:rPr>
          <w:rFonts w:ascii="Consolas" w:hAnsi="Consolas"/>
          <w:sz w:val="15"/>
        </w:rPr>
        <w:t>15. Tu n’as pas le droit d’écrire “terminé” si une route API n’est pas testée, si un CRUD manque, si un bouton n’est pas connecté, si une permission n’est pas vérifiée ou si les tests ne passent pas.</w:t>
      </w:r>
    </w:p>
    <w:p>
      <w:pPr>
        <w:spacing w:after="0"/>
        <w:ind w:left="288" w:right="288"/>
      </w:pPr>
      <w:r>
        <w:rPr>
          <w:rFonts w:ascii="Consolas" w:hAnsi="Consolas"/>
          <w:sz w:val="15"/>
        </w:rPr>
      </w:r>
    </w:p>
    <w:p>
      <w:pPr>
        <w:spacing w:after="0"/>
        <w:ind w:left="288" w:right="288"/>
      </w:pPr>
      <w:r>
        <w:rPr>
          <w:rFonts w:ascii="Consolas" w:hAnsi="Consolas"/>
          <w:sz w:val="15"/>
        </w:rPr>
        <w:t>DÉFINITION DE TERMINÉ POUR CHAQUE MODULE</w:t>
      </w:r>
    </w:p>
    <w:p>
      <w:pPr>
        <w:spacing w:after="0"/>
        <w:ind w:left="288" w:right="288"/>
      </w:pPr>
      <w:r>
        <w:rPr>
          <w:rFonts w:ascii="Consolas" w:hAnsi="Consolas"/>
          <w:sz w:val="15"/>
        </w:rPr>
        <w:t>Pour chaque module, fournir obligatoirement :</w:t>
      </w:r>
    </w:p>
    <w:p>
      <w:pPr>
        <w:spacing w:after="0"/>
        <w:ind w:left="288" w:right="288"/>
      </w:pPr>
      <w:r>
        <w:rPr>
          <w:rFonts w:ascii="Consolas" w:hAnsi="Consolas"/>
          <w:sz w:val="15"/>
        </w:rPr>
        <w:t>A. Fonctionnalités développées</w:t>
      </w:r>
    </w:p>
    <w:p>
      <w:pPr>
        <w:spacing w:after="0"/>
        <w:ind w:left="288" w:right="288"/>
      </w:pPr>
      <w:r>
        <w:rPr>
          <w:rFonts w:ascii="Consolas" w:hAnsi="Consolas"/>
          <w:sz w:val="15"/>
        </w:rPr>
        <w:t>B. Modèle de données</w:t>
      </w:r>
    </w:p>
    <w:p>
      <w:pPr>
        <w:spacing w:after="0"/>
        <w:ind w:left="288" w:right="288"/>
      </w:pPr>
      <w:r>
        <w:rPr>
          <w:rFonts w:ascii="Consolas" w:hAnsi="Consolas"/>
          <w:sz w:val="15"/>
        </w:rPr>
        <w:t>C. Routes API</w:t>
      </w:r>
    </w:p>
    <w:p>
      <w:pPr>
        <w:spacing w:after="0"/>
        <w:ind w:left="288" w:right="288"/>
      </w:pPr>
      <w:r>
        <w:rPr>
          <w:rFonts w:ascii="Consolas" w:hAnsi="Consolas"/>
          <w:sz w:val="15"/>
        </w:rPr>
        <w:t>D. Écrans frontend</w:t>
      </w:r>
    </w:p>
    <w:p>
      <w:pPr>
        <w:spacing w:after="0"/>
        <w:ind w:left="288" w:right="288"/>
      </w:pPr>
      <w:r>
        <w:rPr>
          <w:rFonts w:ascii="Consolas" w:hAnsi="Consolas"/>
          <w:sz w:val="15"/>
        </w:rPr>
        <w:t>E. Matrice CRUD</w:t>
      </w:r>
    </w:p>
    <w:p>
      <w:pPr>
        <w:spacing w:after="0"/>
        <w:ind w:left="288" w:right="288"/>
      </w:pPr>
      <w:r>
        <w:rPr>
          <w:rFonts w:ascii="Consolas" w:hAnsi="Consolas"/>
          <w:sz w:val="15"/>
        </w:rPr>
        <w:t>F. Règles de permission</w:t>
      </w:r>
    </w:p>
    <w:p>
      <w:pPr>
        <w:spacing w:after="0"/>
        <w:ind w:left="288" w:right="288"/>
      </w:pPr>
      <w:r>
        <w:rPr>
          <w:rFonts w:ascii="Consolas" w:hAnsi="Consolas"/>
          <w:sz w:val="15"/>
        </w:rPr>
        <w:t>G. Tests effectués</w:t>
      </w:r>
    </w:p>
    <w:p>
      <w:pPr>
        <w:spacing w:after="0"/>
        <w:ind w:left="288" w:right="288"/>
      </w:pPr>
      <w:r>
        <w:rPr>
          <w:rFonts w:ascii="Consolas" w:hAnsi="Consolas"/>
          <w:sz w:val="15"/>
        </w:rPr>
        <w:t>H. Résultats des tests</w:t>
      </w:r>
    </w:p>
    <w:p>
      <w:pPr>
        <w:spacing w:after="0"/>
        <w:ind w:left="288" w:right="288"/>
      </w:pPr>
      <w:r>
        <w:rPr>
          <w:rFonts w:ascii="Consolas" w:hAnsi="Consolas"/>
          <w:sz w:val="15"/>
        </w:rPr>
        <w:t>I. Bugs corrigés</w:t>
      </w:r>
    </w:p>
    <w:p>
      <w:pPr>
        <w:spacing w:after="0"/>
        <w:ind w:left="288" w:right="288"/>
      </w:pPr>
      <w:r>
        <w:rPr>
          <w:rFonts w:ascii="Consolas" w:hAnsi="Consolas"/>
          <w:sz w:val="15"/>
        </w:rPr>
        <w:t>J. Bugs restants, s’il y en a</w:t>
      </w:r>
    </w:p>
    <w:p>
      <w:pPr>
        <w:spacing w:after="0"/>
        <w:ind w:left="288" w:right="288"/>
      </w:pPr>
      <w:r>
        <w:rPr>
          <w:rFonts w:ascii="Consolas" w:hAnsi="Consolas"/>
          <w:sz w:val="15"/>
        </w:rPr>
        <w:t>K. Décision : validé ou non validé</w:t>
      </w:r>
    </w:p>
    <w:p>
      <w:pPr>
        <w:spacing w:after="0"/>
        <w:ind w:left="288" w:right="288"/>
      </w:pPr>
      <w:r>
        <w:rPr>
          <w:rFonts w:ascii="Consolas" w:hAnsi="Consolas"/>
          <w:sz w:val="15"/>
        </w:rPr>
      </w:r>
    </w:p>
    <w:p>
      <w:pPr>
        <w:spacing w:after="0"/>
        <w:ind w:left="288" w:right="288"/>
      </w:pPr>
      <w:r>
        <w:rPr>
          <w:rFonts w:ascii="Consolas" w:hAnsi="Consolas"/>
          <w:sz w:val="15"/>
        </w:rPr>
        <w:t>COMMENCE MAINTENANT PAR LE MODULE 1 — Authentification et gestion des rôles.</w:t>
      </w:r>
    </w:p>
    <w:p>
      <w:pPr>
        <w:spacing w:after="0"/>
        <w:ind w:left="288" w:right="288"/>
      </w:pPr>
      <w:r>
        <w:rPr>
          <w:rFonts w:ascii="Consolas" w:hAnsi="Consolas"/>
          <w:sz w:val="15"/>
        </w:rPr>
        <w:t>Ne développe pas les autres modules tant que le module 1 n’est pas validé.</w:t>
      </w:r>
    </w:p>
    <w:sectPr w:rsidR="00FC693F" w:rsidRPr="0006063C" w:rsidSect="00034616">
      <w:head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AAEA Pilotage 360 — Cahier des charges agent fullstack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