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C528ED" w14:textId="61D943B3" w:rsidR="009F7FCE" w:rsidRPr="00EE426C" w:rsidRDefault="00926B19" w:rsidP="00C24DEF">
      <w:pPr>
        <w:pStyle w:val="papertitle"/>
      </w:pPr>
      <w:r w:rsidRPr="00926B19">
        <w:t>Methods of allocation of urban centers</w:t>
      </w:r>
    </w:p>
    <w:p w14:paraId="37128224" w14:textId="6F7C1B41" w:rsidR="00224FCD" w:rsidRPr="00224FCD" w:rsidRDefault="00640743" w:rsidP="00224FCD">
      <w:pPr>
        <w:pStyle w:val="author"/>
        <w:rPr>
          <w:vertAlign w:val="superscript"/>
        </w:rPr>
      </w:pPr>
      <w:r>
        <w:t>Aleksandr Katynsus</w:t>
      </w:r>
      <w:r>
        <w:rPr>
          <w:vertAlign w:val="superscript"/>
        </w:rPr>
        <w:t>1</w:t>
      </w:r>
      <w:r>
        <w:rPr>
          <w:rStyle w:val="ORCID"/>
        </w:rPr>
        <w:t>[</w:t>
      </w:r>
      <w:r w:rsidR="00224FCD" w:rsidRPr="00224FCD">
        <w:rPr>
          <w:rStyle w:val="ORCID"/>
        </w:rPr>
        <w:t>0009-0004-4653-7839</w:t>
      </w:r>
      <w:r>
        <w:rPr>
          <w:rStyle w:val="ORCID"/>
        </w:rPr>
        <w:t>]</w:t>
      </w:r>
      <w:r w:rsidR="00224FCD">
        <w:t>, Ekaterina</w:t>
      </w:r>
      <w:r w:rsidR="00224FCD">
        <w:t xml:space="preserve"> </w:t>
      </w:r>
      <w:r w:rsidR="00224FCD" w:rsidRPr="00224FCD">
        <w:t>Shapovalenko</w:t>
      </w:r>
      <w:r w:rsidR="00224FCD">
        <w:rPr>
          <w:rStyle w:val="ORCID"/>
        </w:rPr>
        <w:t>2[</w:t>
      </w:r>
      <w:r w:rsidR="00224FCD">
        <w:rPr>
          <w:rStyle w:val="ORCID"/>
        </w:rPr>
        <w:t>1111-2222-3333-4444]</w:t>
      </w:r>
      <w:r w:rsidR="00224FCD">
        <w:t>,</w:t>
      </w:r>
      <w:r w:rsidR="00224FCD">
        <w:t xml:space="preserve"> </w:t>
      </w:r>
      <w:r w:rsidR="00224FCD">
        <w:t>Anna Pavlova</w:t>
      </w:r>
      <w:r w:rsidR="00224FCD">
        <w:rPr>
          <w:vertAlign w:val="superscript"/>
        </w:rPr>
        <w:t>3</w:t>
      </w:r>
      <w:r w:rsidR="00224FCD">
        <w:rPr>
          <w:rStyle w:val="ORCID"/>
        </w:rPr>
        <w:t>[1111-2222-3333-4444]</w:t>
      </w:r>
      <w:r w:rsidR="00224FCD">
        <w:t>,</w:t>
      </w:r>
      <w:r w:rsidR="00224FCD" w:rsidRPr="00224FCD">
        <w:t xml:space="preserve"> </w:t>
      </w:r>
      <w:r w:rsidR="00224FCD">
        <w:t xml:space="preserve">Inna </w:t>
      </w:r>
      <w:r w:rsidR="00224FCD" w:rsidRPr="00224FCD">
        <w:t>Arseneva</w:t>
      </w:r>
      <w:r w:rsidR="00224FCD">
        <w:rPr>
          <w:vertAlign w:val="superscript"/>
        </w:rPr>
        <w:t>4</w:t>
      </w:r>
      <w:r w:rsidR="00224FCD">
        <w:rPr>
          <w:rStyle w:val="ORCID"/>
        </w:rPr>
        <w:t>[1111-2222-3333-4444]</w:t>
      </w:r>
      <w:r w:rsidR="00224FCD">
        <w:t xml:space="preserve"> and Sergey </w:t>
      </w:r>
      <w:r w:rsidR="00224FCD" w:rsidRPr="00224FCD">
        <w:t>Mityagin</w:t>
      </w:r>
      <w:r w:rsidR="00224FCD">
        <w:rPr>
          <w:rStyle w:val="ORCID"/>
        </w:rPr>
        <w:t>5[</w:t>
      </w:r>
      <w:r>
        <w:rPr>
          <w:rStyle w:val="ORCID"/>
        </w:rPr>
        <w:t>1111-2222-3333-4444]</w:t>
      </w:r>
    </w:p>
    <w:p w14:paraId="7828A6F3" w14:textId="4B3D21DB" w:rsidR="00640743" w:rsidRDefault="00640743" w:rsidP="00640743">
      <w:pPr>
        <w:pStyle w:val="address"/>
        <w:rPr>
          <w:lang w:val="de-DE"/>
        </w:rPr>
      </w:pPr>
      <w:r>
        <w:rPr>
          <w:vertAlign w:val="superscript"/>
          <w:lang w:val="de-DE"/>
        </w:rPr>
        <w:t>1</w:t>
      </w:r>
      <w:r>
        <w:rPr>
          <w:lang w:val="de-DE"/>
        </w:rPr>
        <w:t xml:space="preserve"> </w:t>
      </w:r>
      <w:proofErr w:type="gramStart"/>
      <w:r w:rsidR="00224FCD">
        <w:rPr>
          <w:lang w:val="de-DE"/>
        </w:rPr>
        <w:t>ITMO University</w:t>
      </w:r>
      <w:proofErr w:type="gramEnd"/>
      <w:r>
        <w:rPr>
          <w:lang w:val="de-DE"/>
        </w:rPr>
        <w:t>,</w:t>
      </w:r>
      <w:r w:rsidR="00224FCD" w:rsidRPr="00224FCD">
        <w:t xml:space="preserve"> </w:t>
      </w:r>
      <w:r w:rsidR="00224FCD">
        <w:t xml:space="preserve">Saint-Petersburg </w:t>
      </w:r>
      <w:proofErr w:type="spellStart"/>
      <w:r w:rsidR="00224FCD" w:rsidRPr="00224FCD">
        <w:rPr>
          <w:lang w:val="de-DE"/>
        </w:rPr>
        <w:t>Kronverkskiy</w:t>
      </w:r>
      <w:proofErr w:type="spellEnd"/>
      <w:r w:rsidR="00224FCD" w:rsidRPr="00224FCD">
        <w:rPr>
          <w:lang w:val="de-DE"/>
        </w:rPr>
        <w:t xml:space="preserve"> Prospekt, 49</w:t>
      </w:r>
      <w:r>
        <w:rPr>
          <w:lang w:val="de-DE"/>
        </w:rPr>
        <w:t xml:space="preserve">, </w:t>
      </w:r>
      <w:r w:rsidR="00224FCD">
        <w:rPr>
          <w:lang w:val="de-DE"/>
        </w:rPr>
        <w:t>Russia</w:t>
      </w:r>
    </w:p>
    <w:p w14:paraId="3DE805B4" w14:textId="15F3A5B0" w:rsidR="00640743" w:rsidRPr="00640743" w:rsidRDefault="00640743" w:rsidP="00640743">
      <w:pPr>
        <w:pStyle w:val="address"/>
        <w:rPr>
          <w:lang w:val="de-DE"/>
        </w:rPr>
      </w:pPr>
      <w:r>
        <w:rPr>
          <w:vertAlign w:val="superscript"/>
          <w:lang w:val="de-DE"/>
        </w:rPr>
        <w:t>2</w:t>
      </w:r>
      <w:r>
        <w:rPr>
          <w:lang w:val="de-DE"/>
        </w:rPr>
        <w:t xml:space="preserve"> Springer Heidelberg, Tiergartenstr. 17, 69121 Heidelberg, Germany</w:t>
      </w:r>
      <w:r>
        <w:rPr>
          <w:lang w:val="de-DE"/>
        </w:rPr>
        <w:br/>
      </w:r>
      <w:r>
        <w:rPr>
          <w:rStyle w:val="e-mail"/>
          <w:lang w:val="de-DE"/>
        </w:rPr>
        <w:t>lncs@springer.com</w:t>
      </w:r>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w:t>
      </w:r>
      <w:proofErr w:type="spellStart"/>
      <w:r w:rsidR="00166B4F" w:rsidRPr="00166B4F">
        <w:t>Miass</w:t>
      </w:r>
      <w:proofErr w:type="spell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1730639A" w14:textId="4AC678DE" w:rsidR="006B21D4" w:rsidRPr="00927D1B" w:rsidRDefault="009F25F3" w:rsidP="00E875BB">
      <w:pPr>
        <w:pStyle w:val="p1a"/>
      </w:pPr>
      <w:r w:rsidRPr="00927D1B">
        <w:t>The paper addresses the problem of identifying and modeling central location systems in modern cities. Central locations in urban environments</w:t>
      </w:r>
      <w:r w:rsidR="00927D1B" w:rsidRPr="00927D1B">
        <w:t xml:space="preserve"> </w:t>
      </w:r>
      <w:r w:rsidRPr="00927D1B">
        <w:t xml:space="preserve">are an essential concept in modern urban planning, with their emergence being caused by natural resource distribution variations throughout the city, spatial clustering tendency, </w:t>
      </w:r>
      <w:r w:rsidR="00DD2997" w:rsidRPr="00927D1B">
        <w:t>collocation,</w:t>
      </w:r>
      <w:r w:rsidRPr="00927D1B">
        <w:t xml:space="preserve"> and competition effects of urban services, as well as incompatibility effects of individual citizens' activities. The complex system of interactions between citizens and the urban environment contributes to the formation of the city's central locations</w:t>
      </w:r>
      <w:r w:rsidR="006B21D4" w:rsidRPr="00927D1B">
        <w:t>. Absence of prominent central locations blurs the urban environment, reduces its quality and accessibility to leisure facilities, and creates spontaneous migration. This is reflected in the fact that no city exists without central places, and if they are not evident or regulated, central places begin to form spontaneously in places that are not equipped for it.</w:t>
      </w:r>
    </w:p>
    <w:p w14:paraId="3B22A712" w14:textId="74DD9F20" w:rsidR="006B21D4" w:rsidRPr="00267C1B" w:rsidRDefault="009F25F3" w:rsidP="00267C1B">
      <w:r w:rsidRPr="00927D1B">
        <w:t xml:space="preserve">The methods for identifying central locations in the urban environment are particularly important when conducting preliminary studies. Failure to account for the role of </w:t>
      </w:r>
      <w:r w:rsidRPr="00927D1B">
        <w:lastRenderedPageBreak/>
        <w:t>transformable territory in the central location system of the city leads to significant financial losses, difficulty in ensuring the territory functions as expected, and the need to adapt the territory to real conditions after its transformation</w:t>
      </w:r>
      <w:r w:rsidR="00F35DC3" w:rsidRPr="00927D1B">
        <w:t>.</w:t>
      </w:r>
      <w:r w:rsidR="00CE483A" w:rsidRPr="00927D1B">
        <w:t xml:space="preserve"> </w:t>
      </w:r>
      <w:r w:rsidR="00267C1B">
        <w:t>D</w:t>
      </w:r>
      <w:r w:rsidRPr="00927D1B">
        <w:t>ue to the ambiguity of the central location concept</w:t>
      </w:r>
      <w:r w:rsidR="00267C1B">
        <w:t xml:space="preserve">, </w:t>
      </w:r>
      <w:r w:rsidR="00267C1B" w:rsidRPr="00927D1B">
        <w:t>there is a lack of established methodological approaches to solving this problem</w:t>
      </w:r>
      <w:r w:rsidR="00267C1B">
        <w:t>.</w:t>
      </w:r>
    </w:p>
    <w:p w14:paraId="2B78A3E1" w14:textId="548CFF7F" w:rsidR="000F5303" w:rsidRPr="00927D1B" w:rsidRDefault="009F25F3" w:rsidP="006B21D4">
      <w:r w:rsidRPr="00927D1B">
        <w:t>Residential central locations</w:t>
      </w:r>
      <w:r w:rsidR="006A3271" w:rsidRPr="006A3271">
        <w:t xml:space="preserve"> </w:t>
      </w:r>
      <w:r w:rsidR="00DD2997" w:rsidRPr="006A3271">
        <w:t>– areas</w:t>
      </w:r>
      <w:r w:rsidRPr="00927D1B">
        <w:t xml:space="preserve"> </w:t>
      </w:r>
      <w:r w:rsidR="00267C1B">
        <w:t>with</w:t>
      </w:r>
      <w:r w:rsidRPr="00927D1B">
        <w:t xml:space="preserve"> an increased concentration of the population according to the established settlement system. </w:t>
      </w:r>
      <w:r w:rsidR="00E50087">
        <w:t>They are</w:t>
      </w:r>
      <w:r w:rsidR="00E50087" w:rsidRPr="00927D1B">
        <w:t xml:space="preserve"> important for determining the structure of agglomerations</w:t>
      </w:r>
      <w:r w:rsidR="00E50087">
        <w:t>.</w:t>
      </w:r>
    </w:p>
    <w:p w14:paraId="4591B352" w14:textId="218D733A" w:rsidR="002C4604" w:rsidRPr="00927D1B" w:rsidRDefault="009F25F3" w:rsidP="006B21D4">
      <w:r w:rsidRPr="00927D1B">
        <w:t>Urban activity central locations</w:t>
      </w:r>
      <w:r w:rsidR="00267C1B">
        <w:t xml:space="preserve"> </w:t>
      </w:r>
      <w:r w:rsidR="00DD2997" w:rsidRPr="006A3271">
        <w:t>–</w:t>
      </w:r>
      <w:r w:rsidR="00267C1B">
        <w:t xml:space="preserve"> </w:t>
      </w:r>
      <w:r w:rsidRPr="00927D1B">
        <w:t xml:space="preserve">attraction zones for the daily activities of city residents. </w:t>
      </w:r>
      <w:r w:rsidR="00267C1B">
        <w:t>They are</w:t>
      </w:r>
      <w:r w:rsidRPr="00927D1B">
        <w:t xml:space="preserve"> important for planning leisure or recreational spaces</w:t>
      </w:r>
      <w:r w:rsidR="002E3312" w:rsidRPr="00927D1B">
        <w:t xml:space="preserve">. </w:t>
      </w:r>
    </w:p>
    <w:p w14:paraId="40A3B2D4" w14:textId="7FC95FDE" w:rsidR="002E3312" w:rsidRPr="00927D1B" w:rsidRDefault="009F25F3" w:rsidP="006B21D4">
      <w:r w:rsidRPr="00927D1B">
        <w:t xml:space="preserve">There are also quasi-central locations, which attract </w:t>
      </w:r>
      <w:r w:rsidR="00267C1B" w:rsidRPr="00927D1B">
        <w:t>people</w:t>
      </w:r>
      <w:r w:rsidR="00E50087">
        <w:t xml:space="preserve"> e.g.,</w:t>
      </w:r>
      <w:r w:rsidRPr="00927D1B">
        <w:t xml:space="preserve"> transport hubs or monofunctional areas such as markets and squares. In addition, there are potential central locations. Their centrality is indicated by accessibility and connectivity, which requires the use of methods for determining agglomeration boundaries</w:t>
      </w:r>
      <w:r w:rsidR="00A40FE1" w:rsidRPr="00927D1B">
        <w:t xml:space="preserve">. </w:t>
      </w:r>
    </w:p>
    <w:p w14:paraId="06179068" w14:textId="68AB2DF8" w:rsidR="006B21D4" w:rsidRPr="00927D1B" w:rsidRDefault="009F25F3" w:rsidP="009F25F3">
      <w:r w:rsidRPr="00927D1B">
        <w:t xml:space="preserve">Therefore, identifying central locations in the urban environment is a complex task that requires a system of </w:t>
      </w:r>
      <w:r w:rsidR="00DD2997" w:rsidRPr="00927D1B">
        <w:t>metho</w:t>
      </w:r>
      <w:r w:rsidR="00DD2997">
        <w:t>ds, what will be developed in this article</w:t>
      </w:r>
      <w:r w:rsidR="00A40FE1" w:rsidRPr="00927D1B">
        <w:t xml:space="preserve">. </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36B56A8E"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w:t>
      </w:r>
      <w:proofErr w:type="spellStart"/>
      <w:r w:rsidR="00674153" w:rsidRPr="00927D1B">
        <w:t>Christaller</w:t>
      </w:r>
      <w:proofErr w:type="spellEnd"/>
      <w:r w:rsidR="00674153" w:rsidRPr="00927D1B">
        <w:t xml:space="preserve">-Lösch </w:t>
      </w:r>
      <w:r w:rsidR="0054697F" w:rsidRPr="00927D1B">
        <w:t>[</w:t>
      </w:r>
      <w:r w:rsidR="00DD2997">
        <w:t>1</w:t>
      </w:r>
      <w:r w:rsidR="0054697F" w:rsidRPr="00927D1B">
        <w:t xml:space="preserve">], </w:t>
      </w:r>
      <w:r w:rsidR="00674153" w:rsidRPr="00927D1B">
        <w:t xml:space="preserve">which states that a central place is a designation of a city center for other settlements that provides them with goods and services. Although the </w:t>
      </w:r>
      <w:proofErr w:type="spellStart"/>
      <w:r w:rsidR="00674153" w:rsidRPr="00927D1B">
        <w:t>Christaller</w:t>
      </w:r>
      <w:proofErr w:type="spellEnd"/>
      <w:r w:rsidR="00674153" w:rsidRPr="00927D1B">
        <w:t>-Lösch theory was developed for the supra-urban level, the concept of a central place proved to be useful for analyzing intra-urban processes</w:t>
      </w:r>
      <w:r w:rsidR="001F297E" w:rsidRPr="00927D1B">
        <w:t xml:space="preserve">. </w:t>
      </w:r>
    </w:p>
    <w:p w14:paraId="2AF556EF" w14:textId="10B932BE"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DD2997">
        <w:t>2</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423445">
        <w:t>3</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ListParagraph"/>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ListParagraph"/>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ListParagraph"/>
        <w:numPr>
          <w:ilvl w:val="0"/>
          <w:numId w:val="12"/>
        </w:numPr>
      </w:pPr>
      <w:r w:rsidRPr="00674153">
        <w:t>identification of places with high centrality potential</w:t>
      </w:r>
      <w:r w:rsidR="00DE3C0B">
        <w:t>.</w:t>
      </w:r>
    </w:p>
    <w:p w14:paraId="2F9F4C68" w14:textId="19353831" w:rsidR="00B773AB" w:rsidRDefault="000929C9" w:rsidP="00B773AB">
      <w:pPr>
        <w:pStyle w:val="ListParagraph"/>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405C4DBF"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 xml:space="preserve">degree of centrality according to </w:t>
      </w:r>
      <w:proofErr w:type="spellStart"/>
      <w:r w:rsidRPr="004004C4">
        <w:t>Christaller</w:t>
      </w:r>
      <w:proofErr w:type="spellEnd"/>
      <w:r w:rsidRPr="004004C4">
        <w:t xml:space="preserve"> [</w:t>
      </w:r>
      <w:r w:rsidR="00423445">
        <w:t>4</w:t>
      </w:r>
      <w:r w:rsidRPr="004004C4">
        <w:t>] or the catchment area [</w:t>
      </w:r>
      <w:r w:rsidR="00423445">
        <w:t>5</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4271952B" w:rsidR="008F01F2" w:rsidRPr="008F01F2" w:rsidRDefault="008F01F2" w:rsidP="008F01F2">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8543AE">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40EFA48A">
                  <wp:extent cx="2038399" cy="1181100"/>
                  <wp:effectExtent l="0" t="0" r="0"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2041021" cy="1182619"/>
                          </a:xfrm>
                          <a:prstGeom prst="rect">
                            <a:avLst/>
                          </a:prstGeom>
                          <a:noFill/>
                          <a:ln>
                            <a:noFill/>
                          </a:ln>
                          <a:extLst>
                            <a:ext uri="{53640926-AAD7-44D8-BBD7-CCE9431645EC}">
                              <a14:shadowObscured xmlns:a14="http://schemas.microsoft.com/office/drawing/2010/main"/>
                            </a:ext>
                          </a:extLst>
                        </pic:spPr>
                      </pic:pic>
                    </a:graphicData>
                  </a:graphic>
                </wp:inline>
              </w:drawing>
            </w:r>
          </w:p>
          <w:p w14:paraId="08FFDC20" w14:textId="4F483602" w:rsidR="008F01F2"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1</w:t>
            </w:r>
            <w:r w:rsidRPr="008F01F2">
              <w:rPr>
                <w:sz w:val="18"/>
                <w:szCs w:val="18"/>
              </w:rPr>
              <w:fldChar w:fldCharType="end"/>
            </w:r>
            <w:r w:rsidRPr="008F01F2">
              <w:rPr>
                <w:sz w:val="18"/>
                <w:szCs w:val="18"/>
              </w:rPr>
              <w:t xml:space="preserve"> - Approach 1</w:t>
            </w:r>
          </w:p>
          <w:p w14:paraId="1B2D56F9" w14:textId="47BE375D" w:rsidR="008F01F2" w:rsidRPr="009A3755" w:rsidRDefault="008F01F2" w:rsidP="008F01F2">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00C43AC" w:rsidR="008F01F2" w:rsidRPr="00243E6D" w:rsidRDefault="008F01F2" w:rsidP="008F01F2">
            <w:pPr>
              <w:ind w:firstLine="0"/>
            </w:pPr>
            <w:r w:rsidRPr="00243E6D">
              <w:t>Territory decomposition based on a grid of regular geometric shapes with the assignment of centrality sc</w:t>
            </w:r>
            <w:r>
              <w:t>ores for each shape [</w:t>
            </w:r>
            <w:r w:rsidR="00423445">
              <w:t>6</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668864C3">
                  <wp:extent cx="2033777" cy="1145443"/>
                  <wp:effectExtent l="0" t="0" r="5080" b="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042098" cy="1150129"/>
                          </a:xfrm>
                          <a:prstGeom prst="rect">
                            <a:avLst/>
                          </a:prstGeom>
                          <a:noFill/>
                          <a:ln>
                            <a:noFill/>
                          </a:ln>
                        </pic:spPr>
                      </pic:pic>
                    </a:graphicData>
                  </a:graphic>
                </wp:inline>
              </w:drawing>
            </w:r>
          </w:p>
          <w:p w14:paraId="20B19660" w14:textId="2ED820F1" w:rsidR="008F01F2" w:rsidRPr="009A3755"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2</w:t>
            </w:r>
            <w:r w:rsidRPr="008F01F2">
              <w:rPr>
                <w:sz w:val="18"/>
                <w:szCs w:val="18"/>
              </w:rPr>
              <w:fldChar w:fldCharType="end"/>
            </w:r>
            <w:r w:rsidRPr="008F01F2">
              <w:rPr>
                <w:sz w:val="18"/>
                <w:szCs w:val="18"/>
              </w:rPr>
              <w:t xml:space="preserve"> - Approach 2</w:t>
            </w:r>
            <w:r w:rsidR="008543AE">
              <w:rPr>
                <w:sz w:val="18"/>
                <w:szCs w:val="18"/>
              </w:rPr>
              <w:br/>
            </w:r>
          </w:p>
        </w:tc>
      </w:tr>
      <w:tr w:rsidR="008F01F2" w:rsidRPr="009A3755" w14:paraId="786E4635" w14:textId="77777777" w:rsidTr="00B773AB">
        <w:trPr>
          <w:trHeight w:val="59"/>
          <w:jc w:val="center"/>
        </w:trPr>
        <w:tc>
          <w:tcPr>
            <w:tcW w:w="3116" w:type="dxa"/>
            <w:vAlign w:val="center"/>
          </w:tcPr>
          <w:p w14:paraId="55932355" w14:textId="218D0D81" w:rsidR="008F01F2" w:rsidRPr="009A3755" w:rsidRDefault="008F01F2" w:rsidP="002076FD">
            <w:pPr>
              <w:ind w:firstLine="0"/>
              <w:jc w:val="left"/>
              <w:rPr>
                <w:sz w:val="18"/>
                <w:szCs w:val="18"/>
              </w:rPr>
            </w:pPr>
            <w:r w:rsidRPr="00243E6D">
              <w:t>Ranking of linear objects [</w:t>
            </w:r>
            <w:r w:rsidR="00423445">
              <w:t>7</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inline distT="0" distB="0" distL="0" distR="0" wp14:anchorId="2F7FE7BF" wp14:editId="092D8100">
                  <wp:extent cx="1601258" cy="1226820"/>
                  <wp:effectExtent l="0" t="0" r="0" b="0"/>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05025" cy="1229706"/>
                          </a:xfrm>
                          <a:prstGeom prst="rect">
                            <a:avLst/>
                          </a:prstGeom>
                          <a:noFill/>
                          <a:ln>
                            <a:noFill/>
                          </a:ln>
                        </pic:spPr>
                      </pic:pic>
                    </a:graphicData>
                  </a:graphic>
                </wp:inline>
              </w:drawing>
            </w:r>
          </w:p>
          <w:p w14:paraId="08BF5FA1" w14:textId="3E3106C4"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B4BD69F" w:rsidR="008F01F2" w:rsidRPr="009A3755" w:rsidRDefault="008F01F2" w:rsidP="002076FD">
            <w:pPr>
              <w:ind w:firstLine="0"/>
              <w:jc w:val="left"/>
              <w:rPr>
                <w:sz w:val="18"/>
                <w:szCs w:val="18"/>
              </w:rPr>
            </w:pPr>
            <w:r w:rsidRPr="00243E6D">
              <w:t xml:space="preserve">Ranking of </w:t>
            </w:r>
            <w:r>
              <w:t>territorial planning units [</w:t>
            </w:r>
            <w:r w:rsidR="00423445">
              <w:t>8</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73ACEC1F">
                  <wp:extent cx="1523901" cy="931652"/>
                  <wp:effectExtent l="0" t="0" r="635" b="1905"/>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a:extLst>
                              <a:ext uri="{28A0092B-C50C-407E-A947-70E740481C1C}">
                                <a14:useLocalDpi xmlns:a14="http://schemas.microsoft.com/office/drawing/2010/main" val="0"/>
                              </a:ext>
                            </a:extLst>
                          </a:blip>
                          <a:srcRect t="10786" b="24480"/>
                          <a:stretch/>
                        </pic:blipFill>
                        <pic:spPr bwMode="auto">
                          <a:xfrm>
                            <a:off x="0" y="0"/>
                            <a:ext cx="1524739" cy="932164"/>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47C7D165"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B773AB">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3057BBF5"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423445" w:rsidRPr="00423445">
        <w:t>9</w:t>
      </w:r>
      <w:r w:rsidR="0033569B" w:rsidRPr="0033569B">
        <w:t>]. This method is applied to both individual planning units and linear objects.    Another approach involves assessing the density of the resident population [</w:t>
      </w:r>
      <w:r w:rsidR="00124FFA">
        <w:t>10</w:t>
      </w:r>
      <w:r w:rsidR="0033569B" w:rsidRPr="0033569B">
        <w:t>]. These methods aim to identify the structure of the settlement system and serve to align demand and supply in the territory.</w:t>
      </w:r>
    </w:p>
    <w:p w14:paraId="727DB411" w14:textId="5CC61485"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124FFA">
        <w:t xml:space="preserve"> [11]</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124FFA">
        <w:t xml:space="preserve"> [12]</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360E0FFA" w:rsidR="00A817EB" w:rsidRPr="00A817EB" w:rsidRDefault="00A817EB" w:rsidP="00A817EB">
      <w:r w:rsidRPr="00A817EB">
        <w:t>•</w:t>
      </w:r>
      <w:r w:rsidRPr="00A817EB">
        <w:tab/>
        <w:t>methods based on clustering spatial units with high centrality indices [</w:t>
      </w:r>
      <w:r w:rsidR="00124FFA">
        <w:t>13</w:t>
      </w:r>
      <w:r w:rsidR="00124FFA" w:rsidRPr="00A817EB">
        <w:t>].</w:t>
      </w:r>
    </w:p>
    <w:p w14:paraId="4272C366" w14:textId="7FAA237E"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124FFA">
        <w:t>14].</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4596A726" w:rsidR="009E58FA" w:rsidRPr="00927D1B" w:rsidRDefault="00E875BB" w:rsidP="002D391A">
      <w:pPr>
        <w:pStyle w:val="heading2"/>
        <w:numPr>
          <w:ilvl w:val="1"/>
          <w:numId w:val="16"/>
        </w:numPr>
      </w:pPr>
      <w:r w:rsidRPr="00E875BB">
        <w:t>Information technologies in the centrality of urban spaces assessment</w:t>
      </w:r>
    </w:p>
    <w:p w14:paraId="4AAEAD70" w14:textId="3310A7B8"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124FFA">
        <w:t>7</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6B1EB2B8" w:rsidR="002D391A" w:rsidRDefault="002D391A" w:rsidP="002D391A">
      <w:r>
        <w:t>The first method “Revealing the Changing Spatial Structure of Cities from Human Activity Patterns”</w:t>
      </w:r>
      <w:r w:rsidRPr="002531BD">
        <w:t xml:space="preserve"> </w:t>
      </w:r>
      <w:r>
        <w:t>[</w:t>
      </w:r>
      <w:r w:rsidR="00124FFA">
        <w:t>15</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6DF00AD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124FFA">
        <w:t>16</w:t>
      </w:r>
      <w:r>
        <w:t>]. In the paper discussed the method of locating the key areas of activity in urban areas of different 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C8EF8A0"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w:t>
      </w:r>
      <w:proofErr w:type="spellStart"/>
      <w:r>
        <w:t>OSMnx</w:t>
      </w:r>
      <w:proofErr w:type="spellEnd"/>
      <w:r w:rsidRPr="002531BD">
        <w:t xml:space="preserve"> </w:t>
      </w:r>
      <w:r>
        <w:t>[</w:t>
      </w:r>
      <w:r w:rsidR="00E50087">
        <w:t>17</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w:t>
      </w:r>
      <w:proofErr w:type="spellStart"/>
      <w:r>
        <w:t>NetworkX</w:t>
      </w:r>
      <w:proofErr w:type="spellEnd"/>
      <w:r w:rsidRPr="002531BD">
        <w:t xml:space="preserve"> </w:t>
      </w:r>
      <w:r>
        <w:t>[</w:t>
      </w:r>
      <w:r w:rsidR="00E50087">
        <w:t>17</w:t>
      </w:r>
      <w:r>
        <w:t xml:space="preserve">] library for calculations. Another software to measure centrality of urban spaces is the </w:t>
      </w:r>
      <w:proofErr w:type="spellStart"/>
      <w:r>
        <w:t>Cityseer-api</w:t>
      </w:r>
      <w:proofErr w:type="spellEnd"/>
      <w:r w:rsidRPr="002531BD">
        <w:t xml:space="preserve"> </w:t>
      </w:r>
      <w:r>
        <w:t>[</w:t>
      </w:r>
      <w:r w:rsidR="00E50087">
        <w:t>18</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5CCD10A6" w:rsidR="00221F93" w:rsidRPr="00BA78B2" w:rsidRDefault="00BA78B2" w:rsidP="00221F93">
      <w:pPr>
        <w:pStyle w:val="heading1"/>
      </w:pPr>
      <w:r w:rsidRPr="00BA78B2">
        <w:t>A</w:t>
      </w:r>
      <w:r>
        <w:t xml:space="preserve"> complex </w:t>
      </w:r>
      <w:r w:rsidRPr="00BA78B2">
        <w:t>approach to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735E5C5C" w:rsidR="002D391A" w:rsidRDefault="002D391A" w:rsidP="00BA78B2">
      <w:pPr>
        <w:jc w:val="center"/>
      </w:pPr>
      <w:r>
        <w:t xml:space="preserve">Figure </w:t>
      </w:r>
      <w:fldSimple w:instr=" SEQ Figure \* ARABIC ">
        <w:r w:rsidR="008543AE">
          <w:rPr>
            <w:noProof/>
          </w:rPr>
          <w:t>5</w:t>
        </w:r>
      </w:fldSimple>
      <w:r>
        <w:t xml:space="preserve"> - General scheme</w:t>
      </w:r>
    </w:p>
    <w:p w14:paraId="79187427" w14:textId="3040E337" w:rsidR="002D391A" w:rsidRPr="009F25F3" w:rsidRDefault="002D391A" w:rsidP="002D391A">
      <w:pPr>
        <w:pStyle w:val="heading2"/>
        <w:ind w:left="0" w:firstLine="0"/>
      </w:pPr>
      <w:r w:rsidRPr="005965B1">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reform of housing and communal services and </w:t>
      </w:r>
      <w:proofErr w:type="spellStart"/>
      <w:r>
        <w:t>Rosstat</w:t>
      </w:r>
      <w:proofErr w:type="spellEnd"/>
      <w:r>
        <w: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FF1E279" w:rsidR="002D391A" w:rsidRDefault="00643814" w:rsidP="00643814">
      <w:pPr>
        <w:ind w:firstLine="0"/>
        <w:jc w:val="left"/>
      </w:pPr>
      <w:r>
        <w:t xml:space="preserve">Figure </w:t>
      </w:r>
      <w:fldSimple w:instr=" SEQ Figure \* ARABIC ">
        <w:r w:rsidR="008543AE">
          <w:rPr>
            <w:noProof/>
          </w:rPr>
          <w:t>6</w:t>
        </w:r>
      </w:fldSimple>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5BF4841F" w:rsidR="002D391A" w:rsidRDefault="00D650B5" w:rsidP="002D391A">
      <w:pPr>
        <w:pStyle w:val="p1a"/>
        <w:ind w:firstLine="227"/>
      </w:pPr>
      <w:r w:rsidRPr="00D650B5">
        <w:t>First, topographic data is used to build the network: the street and road network of the city, it is a layer of lines with the type of street embedded in the attributes. The second dataset – population data with information about the number of people living in the area under consideration. Further, these data are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4354AD8C" w:rsidR="00D650B5" w:rsidRDefault="00D650B5" w:rsidP="00D650B5">
      <w:r>
        <w:t>Visually, you can assess how dense the connections between the nodes are, compare this with data on the population, as well as building characteristics. When analyzing a graph network, you can use the criterion of centrality by degree, the closer it is to 1,0,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06599F67" w:rsidR="00643814" w:rsidRDefault="00643814" w:rsidP="00643814">
      <w:r>
        <w:t xml:space="preserve">There are at least two types of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71658575"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7991C074" w:rsidR="00B57385" w:rsidRPr="00E54644" w:rsidRDefault="00B57385" w:rsidP="00B57385">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8543AE">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2EA6F43F" w:rsidR="00643814" w:rsidRDefault="00643814" w:rsidP="00643814">
      <w:r>
        <w:t xml:space="preserve">The first step in this new method is data ingestion. All the data is stored in the parquet files in one place. Parquet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because they do not have any useful information. </w:t>
      </w:r>
    </w:p>
    <w:p w14:paraId="43769C46" w14:textId="1466BC16" w:rsidR="00643814" w:rsidRDefault="00643814" w:rsidP="00643814">
      <w:r>
        <w:t xml:space="preserve">The most interesting step in this method is recognizing named entities (NER) from the social networks’ posts. There are some Python packages with pre-trained models that can do this task: </w:t>
      </w:r>
      <w:proofErr w:type="spellStart"/>
      <w:r>
        <w:t>DaData</w:t>
      </w:r>
      <w:proofErr w:type="spellEnd"/>
      <w:r>
        <w:t xml:space="preserve">, </w:t>
      </w:r>
      <w:proofErr w:type="spellStart"/>
      <w:r>
        <w:t>Pullenti</w:t>
      </w:r>
      <w:proofErr w:type="spellEnd"/>
      <w:r>
        <w:t xml:space="preserve">, </w:t>
      </w:r>
      <w:proofErr w:type="spellStart"/>
      <w:r>
        <w:t>Abbyy</w:t>
      </w:r>
      <w:proofErr w:type="spellEnd"/>
      <w:r>
        <w:t>, In-</w:t>
      </w:r>
      <w:proofErr w:type="spellStart"/>
      <w:r>
        <w:t>foextractor</w:t>
      </w:r>
      <w:proofErr w:type="spellEnd"/>
      <w:r>
        <w:t xml:space="preserve">, Dictum, and Stanza. In this method the main model is </w:t>
      </w:r>
      <w:r w:rsidR="00FF0C19">
        <w:t>S</w:t>
      </w:r>
      <w:r>
        <w:t>tanza with its’ pipelines. In the pipeline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40123589" w:rsidR="00507D04" w:rsidRDefault="00643814" w:rsidP="00643814">
      <w:r>
        <w:t xml:space="preserve">The last step of the method is to geocode all extracted points and put them on the map. Geocoding is made with the help of </w:t>
      </w:r>
      <w:proofErr w:type="spellStart"/>
      <w:r>
        <w:t>GeoPy</w:t>
      </w:r>
      <w:proofErr w:type="spellEnd"/>
      <w:r>
        <w:t xml:space="preserve"> library and </w:t>
      </w:r>
      <w:proofErr w:type="spellStart"/>
      <w:r>
        <w:t>ArcGis</w:t>
      </w:r>
      <w:proofErr w:type="spellEnd"/>
      <w:r>
        <w:t xml:space="preserve"> geo-coder, what takes text address and converts it to coordinates.</w:t>
      </w:r>
      <w:r w:rsidR="00B57385" w:rsidRPr="00B57385">
        <w:t xml:space="preserve"> </w:t>
      </w:r>
      <w:r>
        <w:t xml:space="preserve">All the points have attractiveness 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596FE63D" w:rsidR="009B3E8D" w:rsidRPr="009B3E8D" w:rsidRDefault="00221F93" w:rsidP="009B3E8D">
      <w:pPr>
        <w:pStyle w:val="p1a"/>
      </w:pPr>
      <w:r>
        <w:t>The next method allows for displaying existing service centers and identifying potential service locations based on a set of accompanying characteristics.</w:t>
      </w:r>
    </w:p>
    <w:p w14:paraId="12B40E33" w14:textId="61C5D261" w:rsidR="00B23CA4" w:rsidRDefault="009B3E8D" w:rsidP="009B3E8D">
      <w:r w:rsidRPr="009B3E8D">
        <w:t xml:space="preserve">The main task that needs to be solved is the automatic identification of central places in the city. In other words, the method should work with minimal human input and identify central places. The output should be a map with polygons whose sizes correspond to the degree of saturation of each place with services. </w:t>
      </w:r>
    </w:p>
    <w:p w14:paraId="1A2D5103" w14:textId="2C2F5219"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40B4894B" w:rsidR="009B3E8D" w:rsidRDefault="009B3E8D" w:rsidP="00AB747A">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8543AE">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then potential central places can be identified based on the combined characteristics of existing central places. If there is information about the actual locations of services, it needs to be processed to obtain the coordinates of the 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77777777" w:rsidR="00B23CA4" w:rsidRDefault="00B23CA4" w:rsidP="00B23CA4">
      <w:pPr>
        <w:pStyle w:val="p1a"/>
      </w:pPr>
      <w:r>
        <w:t xml:space="preserve">  The analysis of the agglomeration's planning structure is based on the principle of the unevenly zoned </w:t>
      </w:r>
      <w:proofErr w:type="spellStart"/>
      <w:r>
        <w:t>Vysokovsky</w:t>
      </w:r>
      <w:proofErr w:type="spellEnd"/>
      <w:r>
        <w:t xml:space="preserve">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77777777" w:rsidR="00B23CA4" w:rsidRDefault="00B23CA4" w:rsidP="00B23CA4">
      <w:pPr>
        <w:pStyle w:val="p1a"/>
      </w:pPr>
      <w:r>
        <w:t xml:space="preserve"> 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0E76904D" w:rsidR="00B23CA4" w:rsidRPr="00B57385" w:rsidRDefault="00B23CA4" w:rsidP="00B23CA4">
      <w:pPr>
        <w:pStyle w:val="p1a"/>
      </w:pPr>
      <w:r>
        <w:t xml:space="preserve"> To gather the necessary data for the analysis, open data sources such as the housing and communal services reform, OpenStreetMap, and urban planning documents will be utilized.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578AD114" w:rsidR="00643814" w:rsidRDefault="00F77522" w:rsidP="00F77522">
      <w:pPr>
        <w:jc w:val="center"/>
      </w:pPr>
      <w:r>
        <w:t xml:space="preserve">Figure </w:t>
      </w:r>
      <w:fldSimple w:instr=" SEQ Figure \* ARABIC ">
        <w:r w:rsidR="008543AE">
          <w:rPr>
            <w:noProof/>
          </w:rPr>
          <w:t>9</w:t>
        </w:r>
      </w:fldSimple>
      <w:r>
        <w:t xml:space="preserve"> - </w:t>
      </w:r>
      <w:r w:rsidRPr="00CA760A">
        <w:t>Method for Delimiting Agglomeration Boundaries</w:t>
      </w:r>
    </w:p>
    <w:p w14:paraId="6428F927" w14:textId="0F019AD5" w:rsidR="00B57385" w:rsidRDefault="00B57385" w:rsidP="00B57385">
      <w:pPr>
        <w:pStyle w:val="p1a"/>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w:t>
      </w:r>
      <w:proofErr w:type="gramStart"/>
      <w:r w:rsidRPr="00B23CA4">
        <w:t>on</w:t>
      </w:r>
      <w:proofErr w:type="gramEnd"/>
      <w:r w:rsidRPr="00B23CA4">
        <w:t xml:space="preserve"> </w:t>
      </w:r>
      <w:r w:rsidR="00DE3C0B">
        <w:t>the</w:t>
      </w:r>
      <w:r w:rsidRPr="00B23CA4">
        <w:t xml:space="preserve"> </w:t>
      </w:r>
      <w:r w:rsidR="00DE3C0B">
        <w:t xml:space="preserve">city in </w:t>
      </w:r>
      <w:r w:rsidRPr="00B23CA4">
        <w:t>Chelyabinsk region</w:t>
      </w:r>
      <w:r w:rsidR="00DE3C0B">
        <w:t xml:space="preserve"> - </w:t>
      </w:r>
      <w:proofErr w:type="spellStart"/>
      <w:r w:rsidR="00DE3C0B" w:rsidRPr="00B23CA4">
        <w:t>Miass</w:t>
      </w:r>
      <w:proofErr w:type="spellEnd"/>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4393F733" w:rsidR="00F77522" w:rsidRDefault="00F77522" w:rsidP="00F77522">
      <w:pPr>
        <w:ind w:firstLine="0"/>
      </w:pPr>
      <w:r>
        <w:t xml:space="preserve">Figure </w:t>
      </w:r>
      <w:fldSimple w:instr=" SEQ Figure \* ARABIC ">
        <w:r w:rsidR="008543AE">
          <w:rPr>
            <w:noProof/>
          </w:rPr>
          <w:t>10</w:t>
        </w:r>
      </w:fldSimple>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3EB8E04E"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7AB5F20E" w:rsidR="00B23CA4" w:rsidRDefault="00B23CA4" w:rsidP="00B23CA4">
      <w:pPr>
        <w:pStyle w:val="heading2"/>
      </w:pPr>
      <w:r w:rsidRPr="00B23CA4">
        <w:t xml:space="preserve">Demonstration of the method based on points of </w:t>
      </w:r>
      <w:r w:rsidR="00F77522" w:rsidRPr="00B23CA4">
        <w:t>interes</w:t>
      </w:r>
      <w:r w:rsidR="00F77522">
        <w:t>t.</w:t>
      </w:r>
    </w:p>
    <w:p w14:paraId="21C180BD" w14:textId="7618F6ED" w:rsidR="00F805D7" w:rsidRDefault="00B23CA4" w:rsidP="00F77522">
      <w:pPr>
        <w:pStyle w:val="p1a"/>
      </w:pPr>
      <w:r>
        <w:t>Final maps with the extracted</w:t>
      </w:r>
      <w:r w:rsidR="00E54644">
        <w:t xml:space="preserve"> points</w:t>
      </w:r>
      <w:r w:rsidR="00F805D7">
        <w:t xml:space="preserve"> of interest</w:t>
      </w:r>
      <w:r w:rsidR="00E54644">
        <w:t xml:space="preserve"> can be seen </w:t>
      </w:r>
      <w:r w:rsidR="00F77522">
        <w:t>in</w:t>
      </w:r>
      <w:r w:rsidR="00E54644">
        <w:t xml:space="preserve"> </w:t>
      </w:r>
      <w:r w:rsidR="00F77522">
        <w:t>Fig</w:t>
      </w:r>
      <w:r w:rsidR="00C91999">
        <w:t xml:space="preserve"> </w:t>
      </w:r>
      <w:r w:rsidR="00F77522">
        <w:t>11</w:t>
      </w:r>
      <w:r>
        <w:t>.</w:t>
      </w:r>
    </w:p>
    <w:p w14:paraId="6E627B39" w14:textId="77777777" w:rsidR="00F805D7" w:rsidRPr="00F805D7" w:rsidRDefault="00F805D7" w:rsidP="00F805D7"/>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429EBE4A" w:rsidR="00F77522" w:rsidRDefault="00F77522" w:rsidP="00F805D7">
      <w:pPr>
        <w:jc w:val="center"/>
      </w:pPr>
      <w:r>
        <w:t xml:space="preserve">Figure </w:t>
      </w:r>
      <w:fldSimple w:instr=" SEQ Figure \* ARABIC ">
        <w:r w:rsidR="008543AE">
          <w:rPr>
            <w:noProof/>
          </w:rPr>
          <w:t>11</w:t>
        </w:r>
      </w:fldSimple>
      <w:r>
        <w:t xml:space="preserve"> - Results of POI's extraction</w:t>
      </w:r>
      <w:r w:rsidR="00AB747A">
        <w:br/>
      </w:r>
    </w:p>
    <w:p w14:paraId="0BBA9D2C" w14:textId="65744677" w:rsidR="00F805D7" w:rsidRDefault="00F805D7" w:rsidP="00F805D7">
      <w:pPr>
        <w:pStyle w:val="p1a"/>
      </w:pPr>
      <w:r>
        <w:t xml:space="preserve">All the data was ingested on a local machine and saved in parquet format and then analyzed. There were 998 groups about </w:t>
      </w:r>
      <w:proofErr w:type="spellStart"/>
      <w:r>
        <w:t>Miass</w:t>
      </w:r>
      <w:proofErr w:type="spellEnd"/>
      <w:r>
        <w:t xml:space="preserve"> city in VK</w:t>
      </w:r>
      <w:r w:rsidR="00640743">
        <w:t xml:space="preserve"> (</w:t>
      </w:r>
      <w:r w:rsidR="00640743" w:rsidRPr="00640743">
        <w:t>Russian online social media</w:t>
      </w:r>
      <w:r w:rsidR="00640743">
        <w:t xml:space="preserve"> network)</w:t>
      </w:r>
      <w:r>
        <w:t xml:space="preserve">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Subsequently, the K-means method is applied to cluster the existing services. After identifying the clusters, the degree of popularity of the central places is determined according to the heatmap. Thus, on the final visualization, the central places are represented in different colors accor</w:t>
      </w:r>
      <w:r w:rsidR="00C91999">
        <w:t xml:space="preserve">ding to their popularity (Fig. </w:t>
      </w:r>
      <w:r w:rsidR="004004C4">
        <w:t>12</w:t>
      </w:r>
      <w:r w:rsidRPr="00065403">
        <w:t>).</w:t>
      </w:r>
    </w:p>
    <w:p w14:paraId="148C79CE" w14:textId="50D1C93F" w:rsidR="00B23CA4" w:rsidRDefault="00065403" w:rsidP="00065403">
      <w:r w:rsidRPr="00065403">
        <w:t>To identify potential central places, it is necessary to collect reviews mentioning specific points on the map and geocode them. Then, they are also displayed as a heatmap, clustered, and added to the final map.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6C3DB9A7" w:rsidR="007070D5" w:rsidRDefault="00F77522" w:rsidP="00DE3C0B">
      <w:pPr>
        <w:ind w:firstLine="0"/>
      </w:pPr>
      <w:r>
        <w:t xml:space="preserve">Figure </w:t>
      </w:r>
      <w:fldSimple w:instr=" SEQ Figure \* ARABIC ">
        <w:r w:rsidR="008543AE">
          <w:rPr>
            <w:noProof/>
          </w:rPr>
          <w:t>12</w:t>
        </w:r>
      </w:fldSimple>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 xml:space="preserve">The application of the proposed method for determining agglomeration boundaries and identifying urban centers in </w:t>
      </w:r>
      <w:proofErr w:type="spellStart"/>
      <w:r>
        <w:t>Miass</w:t>
      </w:r>
      <w:proofErr w:type="spellEnd"/>
      <w:r>
        <w:t xml:space="preserve">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7F99A962" w:rsidR="00264C2F" w:rsidRPr="0041126B" w:rsidRDefault="00B57385" w:rsidP="00B57385">
      <w:pPr>
        <w:ind w:firstLine="0"/>
      </w:pPr>
      <w:r>
        <w:t xml:space="preserve">  The correlation analysis between the obtained results and the boundaries defined in the master plan for </w:t>
      </w:r>
      <w:proofErr w:type="spellStart"/>
      <w:r>
        <w:t>Miass's</w:t>
      </w:r>
      <w:proofErr w:type="spellEnd"/>
      <w:r>
        <w:t xml:space="preserve">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7DE4D4BE" w:rsidR="003175EF" w:rsidRDefault="004004C4" w:rsidP="004004C4">
      <w:pPr>
        <w:ind w:firstLine="0"/>
      </w:pPr>
      <w:r>
        <w:t xml:space="preserve">Figure </w:t>
      </w:r>
      <w:fldSimple w:instr=" SEQ Figure \* ARABIC ">
        <w:r w:rsidR="008543AE">
          <w:rPr>
            <w:noProof/>
          </w:rPr>
          <w:t>13</w:t>
        </w:r>
      </w:fldSimple>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360C186D" w:rsidR="003175EF" w:rsidRDefault="003175EF" w:rsidP="003175EF">
      <w:pPr>
        <w:ind w:firstLine="0"/>
      </w:pPr>
      <w:r>
        <w:t xml:space="preserve">  Overall, the results obtained through this method provide valuable insights into the spatial distribution of urban centers and the delineation of agglomeration boundaries in </w:t>
      </w:r>
      <w:proofErr w:type="spellStart"/>
      <w:r>
        <w:t>Miass</w:t>
      </w:r>
      <w:proofErr w:type="spellEnd"/>
      <w:r>
        <w:t>. These findings can inform urban planning, resource allocation, and decision-making processes, facilitating sustainable development and efficient utilization of urban resources.</w:t>
      </w:r>
    </w:p>
    <w:p w14:paraId="5B37FD06" w14:textId="37385259" w:rsidR="00B23CA4" w:rsidRDefault="00B23CA4" w:rsidP="00B23CA4">
      <w:pPr>
        <w:pStyle w:val="heading1"/>
      </w:pPr>
      <w:r>
        <w:t>Discussion</w:t>
      </w:r>
    </w:p>
    <w:p w14:paraId="6C81B6E9" w14:textId="2610AC4B" w:rsidR="008D1D13" w:rsidRDefault="008D1D13" w:rsidP="008D1D13">
      <w:pPr>
        <w:pStyle w:val="p1a"/>
      </w:pPr>
      <w:r>
        <w:t>In this article four new urban centers allocation methods were defined and explained. All of them can be used as separate tools for city analysis, but the best result can be achieved i</w:t>
      </w:r>
      <w:r w:rsidR="00B57385">
        <w:t>f all the methods work together</w:t>
      </w:r>
      <w:r w:rsidR="00B57385" w:rsidRPr="00B57385">
        <w:t>, so that every</w:t>
      </w:r>
      <w:r>
        <w:t xml:space="preserve"> city in the world can be deeply analyzed and studied from different perspectives and sides. They form a new powerful tool in geo analysis and urban centers definition and extraction.  </w:t>
      </w:r>
      <w:r w:rsidR="004004C4">
        <w:t>Fig.</w:t>
      </w:r>
      <w:r w:rsidR="00222E86">
        <w:t xml:space="preserve"> </w:t>
      </w:r>
      <w:r w:rsidR="004004C4">
        <w:t>14</w:t>
      </w:r>
      <w:r w:rsidR="00FB0ECF">
        <w:t xml:space="preserve">e </w:t>
      </w:r>
      <w:r w:rsidR="00222E86">
        <w:t>clearly shows the work of all four methods.</w:t>
      </w:r>
    </w:p>
    <w:p w14:paraId="3553FD8B" w14:textId="77258DB5" w:rsidR="00893B8B" w:rsidRDefault="00893B8B" w:rsidP="00DA4E6F">
      <w:pPr>
        <w:ind w:firstLine="284"/>
      </w:pPr>
      <w:r w:rsidRPr="00893B8B">
        <w:t>The method in Fig 14a shows the central places of settlement based on the connectivity of territories and the number of people in this area. It suggests in which places it is most profitable to develop POI. The method in Fig. 14b shows clusters of points o</w:t>
      </w:r>
      <w:r>
        <w:t>f attraction and characteriz</w:t>
      </w:r>
      <w:r w:rsidRPr="00893B8B">
        <w:t>es their degree of attractiveness. The method in Fig. 14c determines the area of accumulation of such points, as well as places with a potential increase in several POIs. Finally, the method in Fig. 14d shows a complete picture of the development of the city: the joint growth of places of settlement of people and the placement of points of attraction give an understanding of the potential directions for th</w:t>
      </w:r>
      <w:r>
        <w:t>e development of the city's bor</w:t>
      </w:r>
      <w:r w:rsidRPr="00893B8B">
        <w:t>ders.</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23728756">
            <wp:extent cx="4343400" cy="3063240"/>
            <wp:effectExtent l="0" t="0" r="0" b="381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343400" cy="3063240"/>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2986CC51" w:rsidR="005A6ACB" w:rsidRDefault="004004C4" w:rsidP="004004C4">
      <w:pPr>
        <w:jc w:val="center"/>
      </w:pPr>
      <w:r>
        <w:t xml:space="preserve">Figure </w:t>
      </w:r>
      <w:fldSimple w:instr=" SEQ Figure \* ARABIC ">
        <w:r w:rsidR="008543AE">
          <w:rPr>
            <w:noProof/>
          </w:rPr>
          <w:t>14</w:t>
        </w:r>
      </w:fldSimple>
      <w:r>
        <w:t xml:space="preserve"> - </w:t>
      </w:r>
      <w:r w:rsidRPr="00A470B1">
        <w:t>Demonstration of the methods of allocation of urban centers</w:t>
      </w:r>
    </w:p>
    <w:p w14:paraId="2C1F42ED" w14:textId="1D4EA0F6" w:rsidR="008D1D13" w:rsidRPr="008D1D13" w:rsidRDefault="008D1D13" w:rsidP="008D1D13">
      <w:pPr>
        <w:pStyle w:val="heading1"/>
      </w:pPr>
      <w:r>
        <w:t>Conclusion</w:t>
      </w:r>
    </w:p>
    <w:p w14:paraId="3B21AD07" w14:textId="4C810210" w:rsidR="00DE3C0B" w:rsidRPr="00E875BB" w:rsidRDefault="00B23CA4" w:rsidP="00B973AE">
      <w:pPr>
        <w:ind w:firstLine="0"/>
      </w:pPr>
      <w:r w:rsidRPr="00B23CA4">
        <w:t>In conclusion, this article has examined a diverse array of methods for identifying urb</w:t>
      </w:r>
      <w:r w:rsidR="00DA4E6F">
        <w:t>an centers of different types</w:t>
      </w:r>
      <w:r w:rsidR="00DA4E6F" w:rsidRPr="00DA4E6F">
        <w:t>, a careful ana</w:t>
      </w:r>
      <w:r w:rsidR="00DA4E6F">
        <w:t xml:space="preserve">lysis of the data concluded </w:t>
      </w:r>
      <w:r w:rsidRPr="00B23CA4">
        <w:t>that these methods hold significant value both independently, for addressing specific challenges, and collectively, for conducting comprehensive analyses of cities. The versatility and effectiveness of these approaches offer valuable insights for urban researchers and planners alike. By employing these methodologies, we can gain a deeper understanding of urban dynamics and pave the way for more informed decision-making in urban development and management</w:t>
      </w:r>
      <w:r>
        <w:t>.</w:t>
      </w:r>
    </w:p>
    <w:p w14:paraId="51136E19" w14:textId="77777777" w:rsidR="00606587" w:rsidRDefault="009B2539" w:rsidP="00606587">
      <w:pPr>
        <w:pStyle w:val="heading1"/>
        <w:numPr>
          <w:ilvl w:val="0"/>
          <w:numId w:val="0"/>
        </w:numPr>
        <w:ind w:left="567" w:hanging="567"/>
      </w:pPr>
      <w:r>
        <w:t>References</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ListParagraph"/>
        <w:numPr>
          <w:ilvl w:val="0"/>
          <w:numId w:val="17"/>
        </w:numPr>
      </w:pPr>
      <w:proofErr w:type="spellStart"/>
      <w:r w:rsidRPr="00DD2997">
        <w:t>Katynsus</w:t>
      </w:r>
      <w:proofErr w:type="spellEnd"/>
      <w:r w:rsidRPr="00DD2997">
        <w:t xml:space="preserve">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ListParagraph"/>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w:t>
      </w:r>
      <w:proofErr w:type="spellStart"/>
      <w:r w:rsidR="00E53928">
        <w:t>edn</w:t>
      </w:r>
      <w:proofErr w:type="spellEnd"/>
      <w:r w:rsidR="00E53928">
        <w:t>.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ListParagraph"/>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ListParagraph"/>
        <w:numPr>
          <w:ilvl w:val="0"/>
          <w:numId w:val="17"/>
        </w:numPr>
      </w:pPr>
      <w:r w:rsidRPr="00E53928">
        <w:t xml:space="preserve">Oldenburg R. The Great Good Place: Cafes, Coffee Shops, Bookstores, Bars, Hair Salons, and Other. </w:t>
      </w:r>
      <w:proofErr w:type="gramStart"/>
      <w:r w:rsidRPr="00E53928">
        <w:t>3nd</w:t>
      </w:r>
      <w:proofErr w:type="gramEnd"/>
      <w:r w:rsidRPr="00E53928">
        <w:t xml:space="preserve"> </w:t>
      </w:r>
      <w:proofErr w:type="spellStart"/>
      <w:r w:rsidRPr="00E53928">
        <w:t>edn</w:t>
      </w:r>
      <w:proofErr w:type="spellEnd"/>
      <w:r w:rsidRPr="00E53928">
        <w:t>. Marlowe &amp; Company, US (1989).</w:t>
      </w:r>
    </w:p>
    <w:p w14:paraId="67941CBA" w14:textId="0157CB38" w:rsidR="00423445" w:rsidRDefault="00423445" w:rsidP="00E53928">
      <w:pPr>
        <w:pStyle w:val="ListParagraph"/>
        <w:numPr>
          <w:ilvl w:val="0"/>
          <w:numId w:val="17"/>
        </w:numPr>
      </w:pPr>
      <w:r w:rsidRPr="00423445">
        <w:t>Ghadiri, Mehdi</w:t>
      </w:r>
      <w:r w:rsidR="008B187E" w:rsidRPr="008B187E">
        <w:t xml:space="preserve">, </w:t>
      </w:r>
      <w:proofErr w:type="spellStart"/>
      <w:r w:rsidR="008B187E">
        <w:t>Rassafi</w:t>
      </w:r>
      <w:proofErr w:type="spellEnd"/>
      <w:r w:rsidR="008B187E">
        <w:t>,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w:t>
      </w:r>
      <w:proofErr w:type="spellStart"/>
      <w:r w:rsidR="00E53928">
        <w:t>pр</w:t>
      </w:r>
      <w:proofErr w:type="spellEnd"/>
      <w:r w:rsidR="00E53928">
        <w:t>.</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ListParagraph"/>
        <w:numPr>
          <w:ilvl w:val="0"/>
          <w:numId w:val="17"/>
        </w:numPr>
      </w:pPr>
      <w:proofErr w:type="spellStart"/>
      <w:r w:rsidRPr="00423445">
        <w:t>Yamu</w:t>
      </w:r>
      <w:proofErr w:type="spellEnd"/>
      <w:r w:rsidRPr="00423445">
        <w:t xml:space="preserve"> H.C. Space syntax: A method to measure urban space related to so-</w:t>
      </w:r>
      <w:proofErr w:type="spellStart"/>
      <w:r w:rsidRPr="00423445">
        <w:t>cial</w:t>
      </w:r>
      <w:proofErr w:type="spellEnd"/>
      <w:r w:rsidRPr="00423445">
        <w:t xml:space="preserve">, economic and cognitive factors // The Virtual </w:t>
      </w:r>
      <w:proofErr w:type="gramStart"/>
      <w:r w:rsidRPr="00423445">
        <w:t>And</w:t>
      </w:r>
      <w:proofErr w:type="gramEnd"/>
      <w:r w:rsidRPr="00423445">
        <w:t xml:space="preserve"> The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ListParagraph"/>
        <w:numPr>
          <w:ilvl w:val="0"/>
          <w:numId w:val="17"/>
        </w:numPr>
      </w:pPr>
      <w:r w:rsidRPr="00423445">
        <w:t>Hudec, Mir</w:t>
      </w:r>
      <w:r w:rsidR="00E53928">
        <w:t>oslav &amp; Vujosevic, Mirko</w:t>
      </w:r>
      <w:r w:rsidRPr="00423445">
        <w:t>. Integration of a Fuzzy Sys-</w:t>
      </w:r>
      <w:proofErr w:type="spellStart"/>
      <w:r w:rsidRPr="00423445">
        <w:t>tem</w:t>
      </w:r>
      <w:proofErr w:type="spellEnd"/>
      <w:r w:rsidRPr="00423445">
        <w:t xml:space="preserve"> and an Information System for the Territorial Units Ranki</w:t>
      </w:r>
      <w:r w:rsidR="008B187E">
        <w:t>ng</w:t>
      </w:r>
      <w:r w:rsidR="008B187E" w:rsidRPr="008B187E">
        <w:t xml:space="preserve">, </w:t>
      </w:r>
      <w:proofErr w:type="spellStart"/>
      <w:r w:rsidR="008B187E">
        <w:rPr>
          <w:lang w:val="ru-RU"/>
        </w:rPr>
        <w:t>р</w:t>
      </w:r>
      <w:r w:rsidR="00E53928">
        <w:rPr>
          <w:lang w:val="ru-RU"/>
        </w:rPr>
        <w:t>р</w:t>
      </w:r>
      <w:proofErr w:type="spellEnd"/>
      <w:r w:rsidR="008B187E" w:rsidRPr="008B187E">
        <w:t>.</w:t>
      </w:r>
      <w:r w:rsidRPr="00423445">
        <w:t xml:space="preserve"> 374-377</w:t>
      </w:r>
      <w:r w:rsidR="008B187E" w:rsidRPr="008B187E">
        <w:t>, (2007)</w:t>
      </w:r>
    </w:p>
    <w:p w14:paraId="4480814A" w14:textId="6A071191" w:rsidR="00423445" w:rsidRDefault="00AB747A" w:rsidP="000673BA">
      <w:pPr>
        <w:pStyle w:val="ListParagraph"/>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ListParagraph"/>
        <w:numPr>
          <w:ilvl w:val="0"/>
          <w:numId w:val="17"/>
        </w:numPr>
      </w:pPr>
      <w:r>
        <w:t>Pereira R</w:t>
      </w:r>
      <w:r w:rsidRPr="000673BA">
        <w:t>.,</w:t>
      </w:r>
      <w:r>
        <w:t xml:space="preserve"> Nadalin V.</w:t>
      </w:r>
      <w:r w:rsidRPr="000673BA">
        <w:t>,</w:t>
      </w:r>
      <w:r>
        <w:t xml:space="preserve"> </w:t>
      </w:r>
      <w:proofErr w:type="gramStart"/>
      <w:r>
        <w:t>Monasterio</w:t>
      </w:r>
      <w:r w:rsidRPr="000673BA">
        <w:t xml:space="preserve"> </w:t>
      </w:r>
      <w:r>
        <w:t xml:space="preserve"> </w:t>
      </w:r>
      <w:proofErr w:type="spellStart"/>
      <w:r>
        <w:t>L.</w:t>
      </w:r>
      <w:proofErr w:type="gramEnd"/>
      <w:r w:rsidRPr="000673BA">
        <w:t>,</w:t>
      </w:r>
      <w:r>
        <w:t>Albuquerque</w:t>
      </w:r>
      <w:proofErr w:type="spellEnd"/>
      <w:r>
        <w:t xml:space="preserv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ListParagraph"/>
        <w:numPr>
          <w:ilvl w:val="0"/>
          <w:numId w:val="17"/>
        </w:numPr>
      </w:pPr>
      <w:proofErr w:type="spellStart"/>
      <w:r>
        <w:t>Em</w:t>
      </w:r>
      <w:proofErr w:type="spellEnd"/>
      <w:r>
        <w:t>,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ListParagraph"/>
        <w:numPr>
          <w:ilvl w:val="0"/>
          <w:numId w:val="17"/>
        </w:numPr>
      </w:pPr>
      <w:r>
        <w:t>ŠIMON, M.</w:t>
      </w:r>
      <w:r w:rsidRPr="00401073">
        <w:t xml:space="preserve"> </w:t>
      </w:r>
      <w:proofErr w:type="spellStart"/>
      <w:r w:rsidRPr="00401073">
        <w:t>Counterurbanization</w:t>
      </w:r>
      <w:proofErr w:type="spellEnd"/>
      <w:r w:rsidRPr="00401073">
        <w:t xml:space="preserve">: Condemned to Be a Chaotic Conception? </w:t>
      </w:r>
      <w:proofErr w:type="spellStart"/>
      <w:r w:rsidRPr="00401073">
        <w:t>Ge</w:t>
      </w:r>
      <w:r>
        <w:t>ograﬁe</w:t>
      </w:r>
      <w:proofErr w:type="spellEnd"/>
      <w:r>
        <w:t>, 116, No. 3, pp. 231–255</w:t>
      </w:r>
      <w:r w:rsidRPr="00401073">
        <w:t>, (2011)</w:t>
      </w:r>
    </w:p>
    <w:p w14:paraId="4F59015C" w14:textId="1AAF22AA" w:rsidR="00124FFA" w:rsidRDefault="00124FFA" w:rsidP="00DD2997">
      <w:pPr>
        <w:pStyle w:val="ListParagraph"/>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ListParagraph"/>
        <w:numPr>
          <w:ilvl w:val="0"/>
          <w:numId w:val="17"/>
        </w:numPr>
      </w:pPr>
      <w:r w:rsidRPr="00124FFA">
        <w:t xml:space="preserve">M. E. J. Newman: Mathematics of networks. The New Palgrave Encyclopedia of Economics. 2nd </w:t>
      </w:r>
      <w:proofErr w:type="spellStart"/>
      <w:r w:rsidRPr="00124FFA">
        <w:t>edi-tion</w:t>
      </w:r>
      <w:proofErr w:type="spellEnd"/>
      <w:r w:rsidRPr="00124FFA">
        <w:t>. Palgrave Macmillan, Basingstoke (2008)</w:t>
      </w:r>
      <w:r>
        <w:t>.</w:t>
      </w:r>
    </w:p>
    <w:p w14:paraId="04BA165C" w14:textId="77777777" w:rsidR="00124FFA" w:rsidRPr="00124FFA" w:rsidRDefault="00124FFA" w:rsidP="00124FFA">
      <w:pPr>
        <w:pStyle w:val="ListParagraph"/>
        <w:numPr>
          <w:ilvl w:val="0"/>
          <w:numId w:val="17"/>
        </w:numPr>
      </w:pPr>
      <w:r w:rsidRPr="00124FFA">
        <w:t xml:space="preserve">Chen Zhong, Markus </w:t>
      </w:r>
      <w:proofErr w:type="spellStart"/>
      <w:r w:rsidRPr="00124FFA">
        <w:t>Schläpfer</w:t>
      </w:r>
      <w:proofErr w:type="spellEnd"/>
      <w:r w:rsidRPr="00124FFA">
        <w:t xml:space="preserve">, Stefan Müller </w:t>
      </w:r>
      <w:proofErr w:type="spellStart"/>
      <w:r w:rsidRPr="00124FFA">
        <w:t>Arisona</w:t>
      </w:r>
      <w:proofErr w:type="spellEnd"/>
      <w:r w:rsidRPr="00124FFA">
        <w:t>, Michael Batty, Carlo Ratti, and Gerhard Schmitt: Revealing the Changing Spatial Structure of Cities from Human Activity Patterns. Urban Studies vol. 54, issue 2, pp. 437-455 (2016).</w:t>
      </w:r>
    </w:p>
    <w:p w14:paraId="60558B6E" w14:textId="51233829" w:rsidR="00DE3C0B" w:rsidRDefault="00124FFA" w:rsidP="00DE3C0B">
      <w:pPr>
        <w:pStyle w:val="ListParagraph"/>
        <w:numPr>
          <w:ilvl w:val="0"/>
          <w:numId w:val="17"/>
        </w:numPr>
      </w:pPr>
      <w:r w:rsidRPr="00124FFA">
        <w:t xml:space="preserve">Taras </w:t>
      </w:r>
      <w:proofErr w:type="spellStart"/>
      <w:r w:rsidRPr="00124FFA">
        <w:t>Agryzkov</w:t>
      </w:r>
      <w:proofErr w:type="spellEnd"/>
      <w:r w:rsidRPr="00124FFA">
        <w:t>, Leandro Tortosa, José F Vicent,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ListParagraph"/>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ListParagraph"/>
        <w:numPr>
          <w:ilvl w:val="0"/>
          <w:numId w:val="17"/>
        </w:numPr>
        <w:rPr>
          <w:rStyle w:val="Hyperlink"/>
        </w:rPr>
      </w:pPr>
      <w:r w:rsidRPr="00334382">
        <w:rPr>
          <w:rStyle w:val="Hyperlink"/>
        </w:rPr>
        <w:t>Gareth Simons</w:t>
      </w:r>
      <w:r>
        <w:rPr>
          <w:rStyle w:val="Hyperlink"/>
        </w:rPr>
        <w:t xml:space="preserve">: </w:t>
      </w:r>
      <w:r w:rsidRPr="00334382">
        <w:rPr>
          <w:rStyle w:val="Hyperlink"/>
        </w:rPr>
        <w:t xml:space="preserve">The </w:t>
      </w:r>
      <w:proofErr w:type="spellStart"/>
      <w:r w:rsidRPr="00334382">
        <w:rPr>
          <w:rStyle w:val="Hyperlink"/>
        </w:rPr>
        <w:t>cityseer</w:t>
      </w:r>
      <w:proofErr w:type="spellEnd"/>
      <w:r w:rsidRPr="00334382">
        <w:rPr>
          <w:rStyle w:val="Hyperlink"/>
        </w:rPr>
        <w:t xml:space="preserve"> Python package for pedestrian-scale network-based urban analysis</w:t>
      </w:r>
      <w:r>
        <w:rPr>
          <w:rStyle w:val="Hyperlink"/>
        </w:rPr>
        <w:t xml:space="preserve">. </w:t>
      </w:r>
      <w:r w:rsidRPr="00334382">
        <w:rPr>
          <w:rStyle w:val="Hyperlink"/>
        </w:rPr>
        <w:t>Environment and Planning B: Urban Analytics and City Science</w:t>
      </w:r>
      <w:r>
        <w:rPr>
          <w:rStyle w:val="Hyperlink"/>
        </w:rPr>
        <w:t xml:space="preserve"> </w:t>
      </w:r>
      <w:r w:rsidRPr="00334382">
        <w:rPr>
          <w:rStyle w:val="Hyperlink"/>
        </w:rPr>
        <w:t>0(0)</w:t>
      </w:r>
      <w:r>
        <w:rPr>
          <w:rStyle w:val="Hyperlink"/>
        </w:rPr>
        <w:t xml:space="preserve"> (2022).</w:t>
      </w:r>
    </w:p>
    <w:p w14:paraId="0DD5D846" w14:textId="6D848A0F" w:rsidR="00A55965" w:rsidRDefault="00A55965" w:rsidP="00A55965">
      <w:pPr>
        <w:pStyle w:val="ListParagraph"/>
        <w:numPr>
          <w:ilvl w:val="0"/>
          <w:numId w:val="17"/>
        </w:numPr>
      </w:pPr>
      <w:r w:rsidRPr="00A55965">
        <w:t xml:space="preserve"> Deza, M. M., Deza, E. Encyclopedia of Distances.</w:t>
      </w:r>
      <w:r w:rsidR="00AB747A">
        <w:t xml:space="preserve"> 4th</w:t>
      </w:r>
      <w:r w:rsidRPr="00A55965">
        <w:t xml:space="preserve"> </w:t>
      </w:r>
      <w:proofErr w:type="spellStart"/>
      <w:r w:rsidR="00AB747A">
        <w:t>edn</w:t>
      </w:r>
      <w:proofErr w:type="spellEnd"/>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4F7503" w14:textId="77777777" w:rsidR="00D02F9D" w:rsidRDefault="00D02F9D">
      <w:r>
        <w:separator/>
      </w:r>
    </w:p>
  </w:endnote>
  <w:endnote w:type="continuationSeparator" w:id="0">
    <w:p w14:paraId="21B44B4F" w14:textId="77777777" w:rsidR="00D02F9D" w:rsidRDefault="00D02F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A37187" w14:textId="77777777" w:rsidR="00D02F9D" w:rsidRDefault="00D02F9D" w:rsidP="009F7FCE">
      <w:pPr>
        <w:ind w:firstLine="0"/>
      </w:pPr>
      <w:r>
        <w:separator/>
      </w:r>
    </w:p>
  </w:footnote>
  <w:footnote w:type="continuationSeparator" w:id="0">
    <w:p w14:paraId="5FEBACC6" w14:textId="77777777" w:rsidR="00D02F9D" w:rsidRDefault="00D02F9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87276" w14:textId="1B1D6CFD" w:rsidR="009B2539" w:rsidRDefault="009B2539" w:rsidP="00F321B4">
    <w:pPr>
      <w:pStyle w:val="Header"/>
    </w:pPr>
    <w:r>
      <w:fldChar w:fldCharType="begin"/>
    </w:r>
    <w:r>
      <w:instrText>PAGE   \* MERGEFORMAT</w:instrText>
    </w:r>
    <w:r>
      <w:fldChar w:fldCharType="separate"/>
    </w:r>
    <w:r w:rsidR="00A55965">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7A88BB" w14:textId="17129799" w:rsidR="002D48C5" w:rsidRDefault="002D48C5" w:rsidP="002D48C5">
    <w:pPr>
      <w:pStyle w:val="Header"/>
      <w:jc w:val="right"/>
    </w:pPr>
    <w:r>
      <w:fldChar w:fldCharType="begin"/>
    </w:r>
    <w:r>
      <w:instrText>PAGE   \* MERGEFORMAT</w:instrText>
    </w:r>
    <w:r>
      <w:fldChar w:fldCharType="separate"/>
    </w:r>
    <w:r w:rsidR="00A55965">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81286698">
    <w:abstractNumId w:val="2"/>
  </w:num>
  <w:num w:numId="2" w16cid:durableId="633369659">
    <w:abstractNumId w:val="2"/>
  </w:num>
  <w:num w:numId="3" w16cid:durableId="312565497">
    <w:abstractNumId w:val="6"/>
  </w:num>
  <w:num w:numId="4" w16cid:durableId="1113213539">
    <w:abstractNumId w:val="6"/>
  </w:num>
  <w:num w:numId="5" w16cid:durableId="1804928714">
    <w:abstractNumId w:val="9"/>
  </w:num>
  <w:num w:numId="6" w16cid:durableId="1081173358">
    <w:abstractNumId w:val="9"/>
  </w:num>
  <w:num w:numId="7" w16cid:durableId="1939563418">
    <w:abstractNumId w:val="8"/>
  </w:num>
  <w:num w:numId="8" w16cid:durableId="1117532089">
    <w:abstractNumId w:val="10"/>
  </w:num>
  <w:num w:numId="9" w16cid:durableId="124079899">
    <w:abstractNumId w:val="10"/>
  </w:num>
  <w:num w:numId="10" w16cid:durableId="411977259">
    <w:abstractNumId w:val="0"/>
  </w:num>
  <w:num w:numId="11" w16cid:durableId="1251162307">
    <w:abstractNumId w:val="8"/>
  </w:num>
  <w:num w:numId="12" w16cid:durableId="178812723">
    <w:abstractNumId w:val="4"/>
  </w:num>
  <w:num w:numId="13" w16cid:durableId="981812855">
    <w:abstractNumId w:val="3"/>
  </w:num>
  <w:num w:numId="14" w16cid:durableId="159976869">
    <w:abstractNumId w:val="7"/>
  </w:num>
  <w:num w:numId="15" w16cid:durableId="1738238019">
    <w:abstractNumId w:val="1"/>
  </w:num>
  <w:num w:numId="16" w16cid:durableId="783306275">
    <w:abstractNumId w:val="8"/>
    <w:lvlOverride w:ilvl="0">
      <w:startOverride w:val="2"/>
    </w:lvlOverride>
    <w:lvlOverride w:ilvl="1">
      <w:startOverride w:val="4"/>
    </w:lvlOverride>
  </w:num>
  <w:num w:numId="17" w16cid:durableId="2090797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A02F0"/>
    <w:rsid w:val="001B7542"/>
    <w:rsid w:val="001F297E"/>
    <w:rsid w:val="00221F93"/>
    <w:rsid w:val="00222E86"/>
    <w:rsid w:val="002240E6"/>
    <w:rsid w:val="00224FCD"/>
    <w:rsid w:val="002368B5"/>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C1305"/>
    <w:rsid w:val="004F1902"/>
    <w:rsid w:val="00507BFE"/>
    <w:rsid w:val="00507D04"/>
    <w:rsid w:val="00520041"/>
    <w:rsid w:val="00524A82"/>
    <w:rsid w:val="005307E8"/>
    <w:rsid w:val="00543ADC"/>
    <w:rsid w:val="0054697F"/>
    <w:rsid w:val="005478B6"/>
    <w:rsid w:val="0057403E"/>
    <w:rsid w:val="0057631B"/>
    <w:rsid w:val="0058036A"/>
    <w:rsid w:val="005965B1"/>
    <w:rsid w:val="005A3C1B"/>
    <w:rsid w:val="005A4F45"/>
    <w:rsid w:val="005A6ACB"/>
    <w:rsid w:val="005B670F"/>
    <w:rsid w:val="006154E5"/>
    <w:rsid w:val="00640743"/>
    <w:rsid w:val="00643814"/>
    <w:rsid w:val="006671BD"/>
    <w:rsid w:val="00674153"/>
    <w:rsid w:val="006A3271"/>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844DE"/>
    <w:rsid w:val="009930E4"/>
    <w:rsid w:val="009B1198"/>
    <w:rsid w:val="009B2539"/>
    <w:rsid w:val="009B3E8D"/>
    <w:rsid w:val="009E037B"/>
    <w:rsid w:val="009E58FA"/>
    <w:rsid w:val="009F25F3"/>
    <w:rsid w:val="009F7FCE"/>
    <w:rsid w:val="00A073BA"/>
    <w:rsid w:val="00A21A38"/>
    <w:rsid w:val="00A31245"/>
    <w:rsid w:val="00A40FE1"/>
    <w:rsid w:val="00A424E9"/>
    <w:rsid w:val="00A55965"/>
    <w:rsid w:val="00A62A3A"/>
    <w:rsid w:val="00A66CB1"/>
    <w:rsid w:val="00A817EB"/>
    <w:rsid w:val="00AA207D"/>
    <w:rsid w:val="00AA28A5"/>
    <w:rsid w:val="00AA5DB1"/>
    <w:rsid w:val="00AB747A"/>
    <w:rsid w:val="00AE651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3B9A"/>
    <w:rsid w:val="00CD040D"/>
    <w:rsid w:val="00CD0F2F"/>
    <w:rsid w:val="00CD6B03"/>
    <w:rsid w:val="00CE16BC"/>
    <w:rsid w:val="00CE483A"/>
    <w:rsid w:val="00CF1810"/>
    <w:rsid w:val="00D00FF0"/>
    <w:rsid w:val="00D02AE3"/>
    <w:rsid w:val="00D02F9D"/>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26707"/>
    <w:rsid w:val="00E31A78"/>
    <w:rsid w:val="00E3288C"/>
    <w:rsid w:val="00E44AE8"/>
    <w:rsid w:val="00E50087"/>
    <w:rsid w:val="00E53928"/>
    <w:rsid w:val="00E54644"/>
    <w:rsid w:val="00E603C7"/>
    <w:rsid w:val="00E67371"/>
    <w:rsid w:val="00E85502"/>
    <w:rsid w:val="00E87152"/>
    <w:rsid w:val="00E875BB"/>
    <w:rsid w:val="00EA2655"/>
    <w:rsid w:val="00EC5431"/>
    <w:rsid w:val="00F321B4"/>
    <w:rsid w:val="00F35BF5"/>
    <w:rsid w:val="00F35DC3"/>
    <w:rsid w:val="00F40F3D"/>
    <w:rsid w:val="00F66C8B"/>
    <w:rsid w:val="00F77522"/>
    <w:rsid w:val="00F805D7"/>
    <w:rsid w:val="00F95E7A"/>
    <w:rsid w:val="00FA1C2F"/>
    <w:rsid w:val="00FA28EE"/>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073B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5B670F"/>
    <w:pPr>
      <w:ind w:left="720"/>
      <w:contextualSpacing/>
    </w:pPr>
  </w:style>
  <w:style w:type="paragraph" w:styleId="Caption">
    <w:name w:val="caption"/>
    <w:basedOn w:val="Normal"/>
    <w:next w:val="Normal"/>
    <w:unhideWhenUsed/>
    <w:rsid w:val="009B3E8D"/>
    <w:pPr>
      <w:spacing w:after="200" w:line="240" w:lineRule="auto"/>
    </w:pPr>
    <w:rPr>
      <w:i/>
      <w:iCs/>
      <w:color w:val="1F497D" w:themeColor="text2"/>
      <w:sz w:val="18"/>
      <w:szCs w:val="18"/>
    </w:rPr>
  </w:style>
  <w:style w:type="character" w:styleId="FollowedHyperlink">
    <w:name w:val="FollowedHyperlink"/>
    <w:basedOn w:val="DefaultParagraphFont"/>
    <w:semiHidden/>
    <w:unhideWhenUsed/>
    <w:rsid w:val="00334382"/>
    <w:rPr>
      <w:color w:val="800080" w:themeColor="followedHyperlink"/>
      <w:u w:val="single"/>
    </w:rPr>
  </w:style>
  <w:style w:type="character" w:customStyle="1" w:styleId="1">
    <w:name w:val="Неразрешенное упоминание1"/>
    <w:basedOn w:val="DefaultParagraphFont"/>
    <w:uiPriority w:val="99"/>
    <w:semiHidden/>
    <w:unhideWhenUsed/>
    <w:rsid w:val="002531BD"/>
    <w:rPr>
      <w:color w:val="605E5C"/>
      <w:shd w:val="clear" w:color="auto" w:fill="E1DFDD"/>
    </w:rPr>
  </w:style>
  <w:style w:type="table" w:styleId="TableGrid">
    <w:name w:val="Table Grid"/>
    <w:basedOn w:val="TableNormal"/>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DefaultParagraphFont"/>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4D44DCC8-4A9A-4FD5-8D88-46F942E6CA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16</Pages>
  <Words>4798</Words>
  <Characters>27354</Characters>
  <Application>Microsoft Office Word</Application>
  <DocSecurity>0</DocSecurity>
  <Lines>227</Lines>
  <Paragraphs>64</Paragraphs>
  <ScaleCrop>false</ScaleCrop>
  <HeadingPairs>
    <vt:vector size="10" baseType="variant">
      <vt:variant>
        <vt:lpstr>Title</vt:lpstr>
      </vt:variant>
      <vt:variant>
        <vt:i4>1</vt:i4>
      </vt:variant>
      <vt:variant>
        <vt:lpstr>Headings</vt:lpstr>
      </vt:variant>
      <vt:variant>
        <vt:i4>20</vt:i4>
      </vt:variant>
      <vt:variant>
        <vt:lpstr>Название</vt:lpstr>
      </vt:variant>
      <vt:variant>
        <vt:i4>1</vt:i4>
      </vt:variant>
      <vt:variant>
        <vt:lpstr>Título</vt:lpstr>
      </vt:variant>
      <vt:variant>
        <vt:i4>1</vt:i4>
      </vt:variant>
      <vt:variant>
        <vt:lpstr>Titel</vt:lpstr>
      </vt:variant>
      <vt:variant>
        <vt:i4>1</vt:i4>
      </vt:variant>
    </vt:vector>
  </HeadingPairs>
  <TitlesOfParts>
    <vt:vector size="24" baseType="lpstr">
      <vt:lpstr/>
      <vt:lpstr>Introduction</vt:lpstr>
      <vt:lpstr>City central places allocation problems background</vt:lpstr>
      <vt:lpstr>    Definition of the urban central place</vt:lpstr>
      <vt:lpstr>    Spatial division of territory for centrality assessment</vt:lpstr>
      <vt:lpstr>    Criteria for assessing centrality of places</vt:lpstr>
      <vt:lpstr>    Limits of application of methods of allocation of central </vt:lpstr>
      <vt:lpstr>    Information technologies in the centrality of urban spaces assessment</vt:lpstr>
      <vt:lpstr>A complex approach to identifying central locations</vt:lpstr>
      <vt:lpstr>    Method for determining the centers of population congestion in the city and asse</vt:lpstr>
      <vt:lpstr>    Method of defining centers of urban spaces based on extraction of points of inte</vt:lpstr>
      <vt:lpstr>    Method of automatic identification of central locations in a city. Method 3</vt:lpstr>
      <vt:lpstr>    Method for Delimiting Agglomeration Boundaries: Leveraging Open Data and Identif</vt:lpstr>
      <vt:lpstr>Experimental studies of methods</vt:lpstr>
      <vt:lpstr>    Demonstration of method for determining the centers of population congestion in </vt:lpstr>
      <vt:lpstr>    Demonstration of the method based on points of interest.</vt:lpstr>
      <vt:lpstr>    Demonstration of the Method of automatic identification of central locations in </vt:lpstr>
      <vt:lpstr>    Demonstration of the method for Delimiting Agglomeration Boundaries: Leveraging </vt:lpstr>
      <vt:lpstr>Discussion</vt:lpstr>
      <vt:lpstr>Conclusion</vt:lpstr>
      <vt:lpstr>References</vt:lpstr>
      <vt:lpstr/>
      <vt:lpstr/>
      <vt:lpstr/>
    </vt:vector>
  </TitlesOfParts>
  <Company>dataspect IT-Services, Neckargemuend, Germany</Company>
  <LinksUpToDate>false</LinksUpToDate>
  <CharactersWithSpaces>32088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Катынсус Александр Валерьевич</cp:lastModifiedBy>
  <cp:revision>6</cp:revision>
  <cp:lastPrinted>2023-06-19T16:22:00Z</cp:lastPrinted>
  <dcterms:created xsi:type="dcterms:W3CDTF">2023-06-18T18:09:00Z</dcterms:created>
  <dcterms:modified xsi:type="dcterms:W3CDTF">2023-08-01T10:02:00Z</dcterms:modified>
</cp:coreProperties>
</file>