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C528ED" w14:textId="61D943B3" w:rsidR="009F7FCE" w:rsidRPr="00EE426C" w:rsidRDefault="00926B19" w:rsidP="00C24DEF">
      <w:pPr>
        <w:pStyle w:val="papertitle"/>
      </w:pPr>
      <w:r w:rsidRPr="00926B19">
        <w:t>Methods of allocation of urban centers</w:t>
      </w:r>
    </w:p>
    <w:p w14:paraId="37128224" w14:textId="46B6669C"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xml:space="preserve">, Ekaterina </w:t>
      </w:r>
      <w:r w:rsidR="00224FCD" w:rsidRPr="00224FCD">
        <w:t>Shapovalenko</w:t>
      </w:r>
      <w:r w:rsidR="00224FCD">
        <w:rPr>
          <w:rStyle w:val="ORCID"/>
        </w:rPr>
        <w:t>[</w:t>
      </w:r>
      <w:r w:rsidR="00EC60B8" w:rsidRPr="00EC60B8">
        <w:rPr>
          <w:rStyle w:val="ORCID"/>
        </w:rPr>
        <w:t>0009-0005-5282-6060</w:t>
      </w:r>
      <w:r w:rsidR="00224FCD">
        <w:rPr>
          <w:rStyle w:val="ORCID"/>
        </w:rPr>
        <w:t>]</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r w:rsidR="00224FCD">
        <w:rPr>
          <w:lang w:val="de-DE"/>
        </w:rPr>
        <w:t>ITMO University</w:t>
      </w:r>
      <w:r>
        <w:rPr>
          <w:lang w:val="de-DE"/>
        </w:rPr>
        <w:t>,</w:t>
      </w:r>
      <w:r w:rsidR="00224FCD" w:rsidRPr="00224FCD">
        <w:t xml:space="preserve"> </w:t>
      </w:r>
      <w:r w:rsidR="00224FCD">
        <w:t>Saint-Petersburg</w:t>
      </w:r>
      <w:r w:rsidR="004F78DE">
        <w:t>, Birzhevaya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Miass.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23F5A0A3" w14:textId="35651108" w:rsidR="006A6C57" w:rsidRPr="00A30835" w:rsidRDefault="006A6C57" w:rsidP="00A30835">
      <w:pPr>
        <w:pStyle w:val="p1a"/>
        <w:ind w:firstLine="227"/>
      </w:pPr>
      <w:r w:rsidRPr="00A30835">
        <w:t>The paper focuses on identifying central location systems in modern cities, a crucial concept in urban planning. These locations arise from natural resource variations, spatial clustering, urban service collocation, competition, and citizens' activities [1]. The absence of central places leads to a blurred urban environment, reduced quality, limited leisure access, and spontaneous migration [2]. Hence, every city requires central places, or they form spontaneously in unsuitable locations.</w:t>
      </w:r>
    </w:p>
    <w:p w14:paraId="703B96FE" w14:textId="310B1944" w:rsidR="006A6C57" w:rsidRDefault="006A6C57" w:rsidP="00A30835">
      <w:r>
        <w:t>Identifying central locations is crucial during preliminary urban studies. Neglecting transformable territory can lead to financial losses and functional difficulties</w:t>
      </w:r>
      <w:r w:rsidR="00241708">
        <w:t xml:space="preserve"> [2]</w:t>
      </w:r>
      <w:r>
        <w:t>. However, due to the concept's ambiguity, there's a lack of established methodological approaches.</w:t>
      </w:r>
    </w:p>
    <w:p w14:paraId="391C7EF7" w14:textId="11D5252A" w:rsidR="006A6C57" w:rsidRDefault="006A6C57" w:rsidP="00A30835">
      <w:r>
        <w:t>Central locations can be residential areas with increased population concentration and urban activity centers for daily activities and recreational spaces. There are also quasi-central locations</w:t>
      </w:r>
      <w:r w:rsidR="00241708">
        <w:t xml:space="preserve"> [3]</w:t>
      </w:r>
      <w:r>
        <w:t xml:space="preserve"> like transport hubs or monofunctional areas, and potential </w:t>
      </w:r>
      <w:r>
        <w:lastRenderedPageBreak/>
        <w:t>central locations indicated by accessibility and connectivity, requiring methods for determining agglomeration boundaries.</w:t>
      </w:r>
    </w:p>
    <w:p w14:paraId="153FAAC4" w14:textId="77777777" w:rsidR="006A6C57" w:rsidRDefault="006A6C57" w:rsidP="006A6C57">
      <w:pPr>
        <w:pStyle w:val="p1a"/>
        <w:ind w:firstLine="227"/>
      </w:pPr>
    </w:p>
    <w:p w14:paraId="7AA65CD6" w14:textId="4686DD4C" w:rsidR="006A6C57" w:rsidRPr="006A6C57" w:rsidRDefault="006A6C57" w:rsidP="006A6C57">
      <w:pPr>
        <w:pStyle w:val="p1a"/>
        <w:ind w:firstLine="227"/>
      </w:pPr>
      <w:r>
        <w:t>Therefore, identifying central locations in the urban environment is a complex task requiring a systematic approach to prevent losses and ensure efficient urban planning for sustainable development.</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113897DB"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Christaller-Lösch </w:t>
      </w:r>
      <w:r w:rsidR="0054697F" w:rsidRPr="00927D1B">
        <w:t>[</w:t>
      </w:r>
      <w:r w:rsidR="00241708">
        <w:t>4</w:t>
      </w:r>
      <w:r w:rsidR="0054697F" w:rsidRPr="00927D1B">
        <w:t xml:space="preserve">], </w:t>
      </w:r>
      <w:r w:rsidR="00674153" w:rsidRPr="00927D1B">
        <w:t>which states that a central place is a designation of a city center for other settlements that provides them with goods and services. Although the Christaller-Lösch theory was developed for the supra-urban level, the concept of a central place proved to be useful for analyzing intra-urban processes</w:t>
      </w:r>
      <w:r w:rsidR="001F297E" w:rsidRPr="00927D1B">
        <w:t xml:space="preserve">. </w:t>
      </w:r>
    </w:p>
    <w:p w14:paraId="2AF556EF" w14:textId="361492D6"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241708">
        <w:t>5</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241708">
        <w:t>6</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ListParagraph"/>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ListParagraph"/>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ListParagraph"/>
        <w:numPr>
          <w:ilvl w:val="0"/>
          <w:numId w:val="12"/>
        </w:numPr>
      </w:pPr>
      <w:r w:rsidRPr="00674153">
        <w:t>identification of places with high centrality potential</w:t>
      </w:r>
      <w:r w:rsidR="00DE3C0B">
        <w:t>.</w:t>
      </w:r>
    </w:p>
    <w:p w14:paraId="2F9F4C68" w14:textId="19353831" w:rsidR="00B773AB" w:rsidRDefault="000929C9" w:rsidP="00B773AB">
      <w:pPr>
        <w:pStyle w:val="ListParagraph"/>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5943E83A"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degree of centrality according to Christaller [</w:t>
      </w:r>
      <w:r w:rsidR="00241708">
        <w:t>7</w:t>
      </w:r>
      <w:r w:rsidRPr="004004C4">
        <w:t>] or the catchment area [</w:t>
      </w:r>
      <w:r w:rsidR="00241708">
        <w:t>8</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2ACE7216" w:rsidR="008F01F2" w:rsidRPr="008F01F2" w:rsidRDefault="008F01F2" w:rsidP="008F01F2">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6205FC">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50A40ECB">
                  <wp:extent cx="1808259" cy="1047750"/>
                  <wp:effectExtent l="0" t="0" r="1905"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1834632" cy="1063031"/>
                          </a:xfrm>
                          <a:prstGeom prst="rect">
                            <a:avLst/>
                          </a:prstGeom>
                          <a:noFill/>
                          <a:ln>
                            <a:noFill/>
                          </a:ln>
                          <a:extLst>
                            <a:ext uri="{53640926-AAD7-44D8-BBD7-CCE9431645EC}">
                              <a14:shadowObscured xmlns:a14="http://schemas.microsoft.com/office/drawing/2010/main"/>
                            </a:ext>
                          </a:extLst>
                        </pic:spPr>
                      </pic:pic>
                    </a:graphicData>
                  </a:graphic>
                </wp:inline>
              </w:drawing>
            </w:r>
          </w:p>
          <w:p w14:paraId="6D9F2B9F" w14:textId="77777777" w:rsidR="008F01F2" w:rsidRDefault="008F01F2" w:rsidP="005626FE">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1</w:t>
            </w:r>
            <w:r w:rsidRPr="008F01F2">
              <w:rPr>
                <w:sz w:val="18"/>
                <w:szCs w:val="18"/>
              </w:rPr>
              <w:fldChar w:fldCharType="end"/>
            </w:r>
            <w:r w:rsidRPr="008F01F2">
              <w:rPr>
                <w:sz w:val="18"/>
                <w:szCs w:val="18"/>
              </w:rPr>
              <w:t xml:space="preserve"> - Approach 1</w:t>
            </w:r>
          </w:p>
          <w:p w14:paraId="1B2D56F9" w14:textId="53A7F642" w:rsidR="005626FE" w:rsidRPr="009A3755" w:rsidRDefault="005626FE" w:rsidP="005626FE">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90BD8CA" w:rsidR="008F01F2" w:rsidRPr="00243E6D" w:rsidRDefault="008F01F2" w:rsidP="008F01F2">
            <w:pPr>
              <w:ind w:firstLine="0"/>
            </w:pPr>
            <w:r w:rsidRPr="00243E6D">
              <w:t>Territory decomposition based on a grid of regular geometric shapes with the assignment of centrality sc</w:t>
            </w:r>
            <w:r>
              <w:t>ores for each shape [</w:t>
            </w:r>
            <w:r w:rsidR="00241708">
              <w:t>9</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7ED772B9">
                  <wp:extent cx="1543050" cy="869061"/>
                  <wp:effectExtent l="0" t="0" r="0" b="762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72501" cy="885648"/>
                          </a:xfrm>
                          <a:prstGeom prst="rect">
                            <a:avLst/>
                          </a:prstGeom>
                          <a:noFill/>
                          <a:ln>
                            <a:noFill/>
                          </a:ln>
                        </pic:spPr>
                      </pic:pic>
                    </a:graphicData>
                  </a:graphic>
                </wp:inline>
              </w:drawing>
            </w:r>
          </w:p>
          <w:p w14:paraId="0E597750" w14:textId="77777777" w:rsidR="008F01F2"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2</w:t>
            </w:r>
            <w:r w:rsidRPr="008F01F2">
              <w:rPr>
                <w:sz w:val="18"/>
                <w:szCs w:val="18"/>
              </w:rPr>
              <w:fldChar w:fldCharType="end"/>
            </w:r>
            <w:r w:rsidRPr="008F01F2">
              <w:rPr>
                <w:sz w:val="18"/>
                <w:szCs w:val="18"/>
              </w:rPr>
              <w:t xml:space="preserve"> - Approach 2</w:t>
            </w:r>
          </w:p>
          <w:p w14:paraId="20B19660" w14:textId="3372BC20" w:rsidR="005626FE" w:rsidRPr="009A3755" w:rsidRDefault="005626FE" w:rsidP="008F01F2">
            <w:pPr>
              <w:ind w:firstLine="0"/>
              <w:jc w:val="center"/>
              <w:rPr>
                <w:sz w:val="18"/>
                <w:szCs w:val="18"/>
              </w:rPr>
            </w:pPr>
          </w:p>
        </w:tc>
      </w:tr>
      <w:tr w:rsidR="008F01F2" w:rsidRPr="009A3755" w14:paraId="786E4635" w14:textId="77777777" w:rsidTr="00B773AB">
        <w:trPr>
          <w:trHeight w:val="59"/>
          <w:jc w:val="center"/>
        </w:trPr>
        <w:tc>
          <w:tcPr>
            <w:tcW w:w="3116" w:type="dxa"/>
            <w:vAlign w:val="center"/>
          </w:tcPr>
          <w:p w14:paraId="55932355" w14:textId="57E0A999" w:rsidR="008F01F2" w:rsidRPr="009A3755" w:rsidRDefault="008F01F2" w:rsidP="002076FD">
            <w:pPr>
              <w:ind w:firstLine="0"/>
              <w:jc w:val="left"/>
              <w:rPr>
                <w:sz w:val="18"/>
                <w:szCs w:val="18"/>
              </w:rPr>
            </w:pPr>
            <w:r w:rsidRPr="00243E6D">
              <w:t>Ranking of linear objects [</w:t>
            </w:r>
            <w:r w:rsidR="00241708">
              <w:t>10</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anchor distT="0" distB="0" distL="114300" distR="114300" simplePos="0" relativeHeight="251658240" behindDoc="0" locked="0" layoutInCell="1" allowOverlap="1" wp14:anchorId="5859B7B5" wp14:editId="7B31756C">
                  <wp:simplePos x="0" y="0"/>
                  <wp:positionH relativeFrom="column">
                    <wp:posOffset>417195</wp:posOffset>
                  </wp:positionH>
                  <wp:positionV relativeFrom="paragraph">
                    <wp:posOffset>0</wp:posOffset>
                  </wp:positionV>
                  <wp:extent cx="1333500" cy="1021674"/>
                  <wp:effectExtent l="0" t="0" r="0" b="7620"/>
                  <wp:wrapSquare wrapText="bothSides"/>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33500" cy="1021674"/>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8BF5FA1" w14:textId="5786734E"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CB2BBAC" w:rsidR="008F01F2" w:rsidRPr="009A3755" w:rsidRDefault="008F01F2" w:rsidP="002076FD">
            <w:pPr>
              <w:ind w:firstLine="0"/>
              <w:jc w:val="left"/>
              <w:rPr>
                <w:sz w:val="18"/>
                <w:szCs w:val="18"/>
              </w:rPr>
            </w:pPr>
            <w:r w:rsidRPr="00243E6D">
              <w:t xml:space="preserve">Ranking of </w:t>
            </w:r>
            <w:r>
              <w:t>territorial planning units [</w:t>
            </w:r>
            <w:r w:rsidR="00241708">
              <w:t>11</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2AE95D7E">
                  <wp:extent cx="1438275" cy="879304"/>
                  <wp:effectExtent l="0" t="0" r="0" b="0"/>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786" b="24480"/>
                          <a:stretch/>
                        </pic:blipFill>
                        <pic:spPr bwMode="auto">
                          <a:xfrm>
                            <a:off x="0" y="0"/>
                            <a:ext cx="1450276" cy="886641"/>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3247D84"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6205FC">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55408FF1"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241708">
        <w:t>12</w:t>
      </w:r>
      <w:r w:rsidR="0033569B" w:rsidRPr="0033569B">
        <w:t xml:space="preserve">]. This method is applied to both individual planning units and linear objects.    Another approach involves </w:t>
      </w:r>
      <w:r w:rsidR="0033569B" w:rsidRPr="0033569B">
        <w:lastRenderedPageBreak/>
        <w:t>assessing the density of the resident population [</w:t>
      </w:r>
      <w:r w:rsidR="00241708">
        <w:t>13</w:t>
      </w:r>
      <w:r w:rsidR="0033569B" w:rsidRPr="0033569B">
        <w:t>]. These methods aim to identify the structure of the settlement system and serve to align demand and supply in the territory.</w:t>
      </w:r>
    </w:p>
    <w:p w14:paraId="727DB411" w14:textId="7EDB6B96"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241708">
        <w:t xml:space="preserve"> [14</w:t>
      </w:r>
      <w:r w:rsidR="00124FFA">
        <w:t>]</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241708">
        <w:t xml:space="preserve"> [15</w:t>
      </w:r>
      <w:r w:rsidR="00124FFA">
        <w:t>]</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29A065A6" w:rsidR="00A817EB" w:rsidRPr="00A817EB" w:rsidRDefault="00A817EB" w:rsidP="00A817EB">
      <w:r w:rsidRPr="00A817EB">
        <w:t>•</w:t>
      </w:r>
      <w:r w:rsidRPr="00A817EB">
        <w:tab/>
        <w:t>methods based on clustering spatial units with high centrality indices [</w:t>
      </w:r>
      <w:r w:rsidR="00241708">
        <w:t>16</w:t>
      </w:r>
      <w:r w:rsidR="00124FFA" w:rsidRPr="00A817EB">
        <w:t>].</w:t>
      </w:r>
    </w:p>
    <w:p w14:paraId="4272C366" w14:textId="0511658F"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241708">
        <w:t>17</w:t>
      </w:r>
      <w:r w:rsidR="00124FFA">
        <w:t>].</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4AAEAD70" w14:textId="33A85C86"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241708">
        <w:t>11</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54B33E16" w:rsidR="002D391A" w:rsidRDefault="002D391A" w:rsidP="002D391A">
      <w:r>
        <w:t>The first method “Revealing the Changing Spatial Structure of Cities from Human Activity Patterns”</w:t>
      </w:r>
      <w:r w:rsidRPr="002531BD">
        <w:t xml:space="preserve"> </w:t>
      </w:r>
      <w:r>
        <w:t>[</w:t>
      </w:r>
      <w:r w:rsidR="00241708">
        <w:t>18</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7099130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241708">
        <w:t>19</w:t>
      </w:r>
      <w:r>
        <w:t>]. In the paper discussed the method of locating the key areas of activity in urban areas of different shapes and sizes</w:t>
      </w:r>
      <w:r w:rsidR="00E67371" w:rsidRPr="00E67371">
        <w:t xml:space="preserve">, and proposed </w:t>
      </w:r>
      <w:r>
        <w:t xml:space="preserve">a new algorithm of centrality measurement for </w:t>
      </w:r>
      <w:r>
        <w:lastRenderedPageBreak/>
        <w:t xml:space="preserve">the defined types of augmented urban networks, based on </w:t>
      </w:r>
      <w:r w:rsidR="00E67371" w:rsidRPr="00E67371">
        <w:t>the eigenvector centrality index.</w:t>
      </w:r>
    </w:p>
    <w:p w14:paraId="50C20770" w14:textId="65EA3BC7"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OSMnx</w:t>
      </w:r>
      <w:r w:rsidRPr="002531BD">
        <w:t xml:space="preserve"> </w:t>
      </w:r>
      <w:r>
        <w:t>[</w:t>
      </w:r>
      <w:r w:rsidR="00241708">
        <w:t>20</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NetworkX</w:t>
      </w:r>
      <w:r w:rsidRPr="002531BD">
        <w:t xml:space="preserve"> </w:t>
      </w:r>
      <w:r>
        <w:t>[</w:t>
      </w:r>
      <w:r w:rsidR="00241708">
        <w:t>20</w:t>
      </w:r>
      <w:r>
        <w:t>] library for calculations. Another software to measure centrality of urban spaces is the Cityseer-api</w:t>
      </w:r>
      <w:r w:rsidRPr="002531BD">
        <w:t xml:space="preserve"> </w:t>
      </w:r>
      <w:r>
        <w:t>[</w:t>
      </w:r>
      <w:r w:rsidR="00241708">
        <w:t>21</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1C10DEA3" w:rsidR="002D391A" w:rsidRDefault="002D391A" w:rsidP="00BA78B2">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5</w:t>
      </w:r>
      <w:r w:rsidR="00696CAB">
        <w:rPr>
          <w:noProof/>
        </w:rPr>
        <w:fldChar w:fldCharType="end"/>
      </w:r>
      <w:r>
        <w:t xml:space="preserve"> - General scheme</w:t>
      </w:r>
    </w:p>
    <w:p w14:paraId="79187427" w14:textId="3040E337" w:rsidR="002D391A" w:rsidRPr="009F25F3" w:rsidRDefault="002D391A" w:rsidP="002D391A">
      <w:pPr>
        <w:pStyle w:val="heading2"/>
        <w:ind w:left="0" w:firstLine="0"/>
      </w:pPr>
      <w:r w:rsidRPr="005965B1">
        <w:lastRenderedPageBreak/>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The data sources are the population census data (in Russia, this is the reform of housing and communal services and Rosstat),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AFD9823" w:rsidR="002D391A" w:rsidRDefault="00643814" w:rsidP="00643814">
      <w:pPr>
        <w:ind w:firstLine="0"/>
        <w:jc w:val="left"/>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6</w:t>
      </w:r>
      <w:r w:rsidR="00696CAB">
        <w:rPr>
          <w:noProof/>
        </w:rPr>
        <w:fldChar w:fldCharType="end"/>
      </w:r>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r>
        <w:t>is</w:t>
      </w:r>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w:t>
      </w:r>
      <w:r w:rsidR="00D650B5">
        <w:lastRenderedPageBreak/>
        <w:t>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418D47F" w:rsidR="00B57385" w:rsidRPr="00E54644" w:rsidRDefault="00B57385" w:rsidP="00B57385">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6205FC">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lastRenderedPageBreak/>
        <w:t xml:space="preserve">The most interesting step in this method is recognizing named entities (NER) from the social networks’ posts. There are some Python packages with pre-trained models that can do this task: DaData, Pullenti, Abbyy, In-foextractor,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The last step of the method is to geocode all extracted points and put them on the map. Geocoding is made with the help of GeoPy library and ArcGis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325C14BA" w:rsidR="009B3E8D" w:rsidRDefault="009B3E8D" w:rsidP="00AB747A">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6205FC">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xml:space="preserve">, then potential central places can be identified based on the combined characteristics of existing central places. If there is information about the actual locations of services, it needs to be processed to obtain the coordinates of the </w:t>
      </w:r>
      <w:r w:rsidRPr="00927D1B">
        <w:lastRenderedPageBreak/>
        <w:t>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The analysis of the agglomeration's planning structure is based on the principle of the unevenly zoned Vysokovsky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1C2ED722" w:rsidR="00643814" w:rsidRDefault="00F77522" w:rsidP="00F77522">
      <w:pPr>
        <w:jc w:val="center"/>
      </w:pPr>
      <w:r>
        <w:lastRenderedPageBreak/>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9</w:t>
      </w:r>
      <w:r w:rsidR="00696CAB">
        <w:rPr>
          <w:noProof/>
        </w:rPr>
        <w:fldChar w:fldCharType="end"/>
      </w:r>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on </w:t>
      </w:r>
      <w:r w:rsidR="00DE3C0B">
        <w:t>the</w:t>
      </w:r>
      <w:r w:rsidRPr="00B23CA4">
        <w:t xml:space="preserve"> </w:t>
      </w:r>
      <w:r w:rsidR="00DE3C0B">
        <w:t xml:space="preserve">city in </w:t>
      </w:r>
      <w:r w:rsidRPr="00B23CA4">
        <w:t>Chelyabinsk region</w:t>
      </w:r>
      <w:r w:rsidR="00DE3C0B">
        <w:t xml:space="preserve"> - </w:t>
      </w:r>
      <w:r w:rsidR="00DE3C0B" w:rsidRPr="00B23CA4">
        <w:t>Miass</w:t>
      </w:r>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0F2263BA" w:rsidR="00F77522" w:rsidRDefault="00FF7BDD" w:rsidP="00F77522">
      <w:pPr>
        <w:pStyle w:val="heading2"/>
        <w:tabs>
          <w:tab w:val="clear" w:pos="567"/>
        </w:tabs>
        <w:ind w:left="0" w:firstLine="0"/>
      </w:pPr>
      <w:r w:rsidRPr="00FF7BDD">
        <w:t>Validation</w:t>
      </w:r>
      <w:r w:rsidR="00F77522">
        <w:t xml:space="preserve"> of m</w:t>
      </w:r>
      <w:r w:rsidR="00F77522" w:rsidRPr="005965B1">
        <w:t>ethod for determining the centers of population congestion in the city and assessing their connectivit</w:t>
      </w:r>
      <w:r w:rsidR="00F77522">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18878F3D" w:rsidR="00F77522" w:rsidRDefault="00F77522" w:rsidP="00F77522">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10</w:t>
      </w:r>
      <w:r w:rsidR="00696CAB">
        <w:rPr>
          <w:noProof/>
        </w:rPr>
        <w:fldChar w:fldCharType="end"/>
      </w:r>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17E0AE3B"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2BF3C27B" w:rsidR="00B23CA4" w:rsidRDefault="00FF7BDD" w:rsidP="00B23CA4">
      <w:pPr>
        <w:pStyle w:val="heading2"/>
      </w:pPr>
      <w:r w:rsidRPr="00FF7BDD">
        <w:lastRenderedPageBreak/>
        <w:t>Validation</w:t>
      </w:r>
      <w:r w:rsidR="00B23CA4" w:rsidRPr="00B23CA4">
        <w:t xml:space="preserve"> of the method based on points of </w:t>
      </w:r>
      <w:r w:rsidR="00F77522" w:rsidRPr="00B23CA4">
        <w:t>interes</w:t>
      </w:r>
      <w:r w:rsidR="00F77522">
        <w:t>t.</w:t>
      </w:r>
    </w:p>
    <w:p w14:paraId="79EBCB69" w14:textId="77777777" w:rsidR="00FA77CD" w:rsidRDefault="00FA77CD" w:rsidP="00FA77CD">
      <w:pPr>
        <w:pStyle w:val="p1a"/>
      </w:pPr>
      <w:r>
        <w:t>All the data was ingested on a local machine and saved in parquet format and then analyzed. There were 998 groups about Miass city in VK (</w:t>
      </w:r>
      <w:r w:rsidRPr="00640743">
        <w:t>Russian online social media</w:t>
      </w:r>
      <w:r>
        <w:t xml:space="preserve"> network)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6E627B39" w14:textId="6F00AC00" w:rsidR="00F805D7" w:rsidRPr="00FA77CD" w:rsidRDefault="00FA77CD" w:rsidP="00FA77CD">
      <w:pPr>
        <w:pStyle w:val="p1a"/>
        <w:ind w:firstLine="227"/>
      </w:pPr>
      <w:r>
        <w:t>Final maps with the extracted points of interest can be seen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3D072A" w:rsidR="00F77522" w:rsidRDefault="00F77522" w:rsidP="00F805D7">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11</w:t>
      </w:r>
      <w:r w:rsidR="00696CAB">
        <w:rPr>
          <w:noProof/>
        </w:rPr>
        <w:fldChar w:fldCharType="end"/>
      </w:r>
      <w:r>
        <w:t xml:space="preserve"> - Results of POI's extraction</w:t>
      </w:r>
      <w:r w:rsidR="00AB747A">
        <w:br/>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135F60B3" w:rsidR="00B23CA4" w:rsidRDefault="00FF7BDD" w:rsidP="00B23CA4">
      <w:pPr>
        <w:pStyle w:val="heading2"/>
      </w:pPr>
      <w:r w:rsidRPr="00FF7BDD">
        <w:t>Validation</w:t>
      </w:r>
      <w:r w:rsidR="00B23CA4" w:rsidRPr="00B23CA4">
        <w:t xml:space="preserve"> of the Method of automatic identification of central locations in a city</w:t>
      </w:r>
    </w:p>
    <w:p w14:paraId="14699232" w14:textId="10B2CBC2"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n of services is highest</w:t>
      </w:r>
      <w:r w:rsidR="00F1403D" w:rsidRPr="00F1403D">
        <w:t xml:space="preserve"> </w:t>
      </w:r>
      <w:r w:rsidR="0005591C" w:rsidRPr="0005591C">
        <w:t>as shown i</w:t>
      </w:r>
      <w:r w:rsidR="00F1403D">
        <w:t xml:space="preserve">n </w:t>
      </w:r>
      <w:r w:rsidR="00C91999">
        <w:t xml:space="preserve">Fig. </w:t>
      </w:r>
      <w:r w:rsidR="004004C4">
        <w:t>1</w:t>
      </w:r>
      <w:r w:rsidR="00F1403D" w:rsidRPr="00F1403D">
        <w:t>2</w:t>
      </w:r>
      <w:r w:rsidR="00065403" w:rsidRPr="00065403">
        <w:t xml:space="preserve">. </w:t>
      </w:r>
    </w:p>
    <w:p w14:paraId="574F0A29" w14:textId="3935B028" w:rsidR="00065403" w:rsidRPr="00065403" w:rsidRDefault="00065403" w:rsidP="00065403">
      <w:r w:rsidRPr="00065403">
        <w:t>Subsequently, the K-means method is applied to cluster the existing services</w:t>
      </w:r>
      <w:r w:rsidR="00A23DAC">
        <w:t xml:space="preserve">, </w:t>
      </w:r>
      <w:r w:rsidR="00A23DAC" w:rsidRPr="00A23DAC">
        <w:t xml:space="preserve">using </w:t>
      </w:r>
      <w:r w:rsidR="00A23DAC">
        <w:t>its</w:t>
      </w:r>
      <w:r w:rsidR="00A23DAC" w:rsidRPr="00A23DAC">
        <w:t xml:space="preserve"> coordinates</w:t>
      </w:r>
      <w:r w:rsidRPr="00065403">
        <w:t>. After identifying the clusters, the degree of popularity of the central places is determined according to the heat</w:t>
      </w:r>
      <w:r w:rsidR="00F1403D">
        <w:t xml:space="preserve"> </w:t>
      </w:r>
      <w:r w:rsidRPr="00065403">
        <w:t xml:space="preserve">map. Thus, on the final visualization, the </w:t>
      </w:r>
      <w:r w:rsidRPr="00065403">
        <w:lastRenderedPageBreak/>
        <w:t>central places are represented in different colors accor</w:t>
      </w:r>
      <w:r w:rsidR="00C91999">
        <w:t xml:space="preserve">ding to their popularity </w:t>
      </w:r>
      <w:r w:rsidR="00F1403D">
        <w:t>you can see</w:t>
      </w:r>
      <w:r w:rsidR="00F1403D" w:rsidRPr="00F1403D">
        <w:t xml:space="preserve"> </w:t>
      </w:r>
      <w:r w:rsidR="00F1403D">
        <w:t xml:space="preserve">in </w:t>
      </w:r>
      <w:r w:rsidR="00C91999">
        <w:t xml:space="preserve">Fig. </w:t>
      </w:r>
      <w:r w:rsidR="004004C4">
        <w:t>12</w:t>
      </w:r>
      <w:r w:rsidR="0005591C" w:rsidRPr="0005591C">
        <w:t xml:space="preserve"> </w:t>
      </w:r>
      <w:r w:rsidR="0005591C" w:rsidRPr="0005591C">
        <w:t>right</w:t>
      </w:r>
      <w:r w:rsidRPr="00065403">
        <w:t>.</w:t>
      </w:r>
    </w:p>
    <w:p w14:paraId="148C79CE" w14:textId="6AE5011A" w:rsidR="00B23CA4" w:rsidRDefault="00065403" w:rsidP="00065403">
      <w:r w:rsidRPr="00065403">
        <w:t>To identify potential central places, it is necessary to collect reviews mentioning specific points on the map and geocode them. Then, they are also displayed as a heat</w:t>
      </w:r>
      <w:r w:rsidR="00F1403D">
        <w:t xml:space="preserve"> </w:t>
      </w:r>
      <w:r w:rsidRPr="00065403">
        <w:t>map, clustered, and added to the final map. As shown in Fig. 1</w:t>
      </w:r>
      <w:r w:rsidR="00F1403D" w:rsidRPr="00F1403D">
        <w:t>2</w:t>
      </w:r>
      <w:r w:rsidR="0005591C" w:rsidRPr="0005591C">
        <w:t xml:space="preserve"> </w:t>
      </w:r>
      <w:r w:rsidR="0005591C" w:rsidRPr="0005591C">
        <w:t>right.</w:t>
      </w:r>
      <w:r w:rsidRPr="00065403">
        <w:t>,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3B027707" w:rsidR="007070D5" w:rsidRDefault="00F77522" w:rsidP="00DE3C0B">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12</w:t>
      </w:r>
      <w:r w:rsidR="00696CAB">
        <w:rPr>
          <w:noProof/>
        </w:rPr>
        <w:fldChar w:fldCharType="end"/>
      </w:r>
      <w:r>
        <w:t xml:space="preserve"> - </w:t>
      </w:r>
      <w:r w:rsidR="00FF7BDD" w:rsidRPr="00FF7BDD">
        <w:t>Verification</w:t>
      </w:r>
      <w:r w:rsidRPr="00420138">
        <w:t xml:space="preserve">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32C52152" w:rsidR="00B23CA4" w:rsidRPr="00B23CA4" w:rsidRDefault="00FF7BDD" w:rsidP="003175EF">
      <w:pPr>
        <w:pStyle w:val="heading2"/>
      </w:pPr>
      <w:r w:rsidRPr="00FF7BDD">
        <w:t>Validation</w:t>
      </w:r>
      <w:r w:rsidR="003175EF">
        <w:t xml:space="preserve"> of </w:t>
      </w:r>
      <w:r w:rsidR="003175EF" w:rsidRPr="003175EF">
        <w:t xml:space="preserve">the </w:t>
      </w:r>
      <w:r w:rsidR="004004C4" w:rsidRPr="003175EF">
        <w:t>method for</w:t>
      </w:r>
      <w:r w:rsidR="003175EF" w:rsidRPr="003175EF">
        <w:t xml:space="preserve"> Delimiting Agglomeration Boundaries: Leveraging Open Data and Identifying Urban Centers</w:t>
      </w:r>
    </w:p>
    <w:p w14:paraId="1F9ACEB7" w14:textId="77777777" w:rsidR="00BA78B2" w:rsidRDefault="003175EF" w:rsidP="00BA78B2">
      <w:pPr>
        <w:ind w:firstLine="0"/>
      </w:pPr>
      <w:r>
        <w:t>The application of the proposed method for determining agglomeration boundaries and identifying urban centers in Miass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lastRenderedPageBreak/>
        <w:t xml:space="preserve">The correlation analysis between the obtained results and the boundaries defined in the master plan for Miass's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2799A55A" w:rsidR="003175EF" w:rsidRDefault="004004C4" w:rsidP="004004C4">
      <w:pPr>
        <w:ind w:firstLine="0"/>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13</w:t>
      </w:r>
      <w:r w:rsidR="00696CAB">
        <w:rPr>
          <w:noProof/>
        </w:rPr>
        <w:fldChar w:fldCharType="end"/>
      </w:r>
      <w:r>
        <w:t xml:space="preserve"> - </w:t>
      </w:r>
      <w:r w:rsidR="00FF7BDD" w:rsidRPr="00FF7BDD">
        <w:t>Verification</w:t>
      </w:r>
      <w:r w:rsidRPr="00146D82">
        <w:t xml:space="preserve">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07F8ADF3" w:rsidR="003175EF" w:rsidRDefault="003175EF" w:rsidP="001B1A99">
      <w:r>
        <w:t>Overall, the results obtained through this method provide valuable insights into the spatial distribution of urban centers and the delineation of agglomeration boundaries in Miass. These findings can inform urban planning, resource allocation, and decision-making processes, facilitating sustainable development and efficient utilization of urban resources.</w:t>
      </w:r>
    </w:p>
    <w:p w14:paraId="5B37FD06" w14:textId="37385259" w:rsidR="00B23CA4" w:rsidRDefault="00B23CA4" w:rsidP="00015200">
      <w:pPr>
        <w:pStyle w:val="heading1"/>
      </w:pPr>
      <w:r>
        <w:t>Discussion</w:t>
      </w:r>
    </w:p>
    <w:p w14:paraId="077D4A32" w14:textId="470D5376" w:rsidR="00AF4950" w:rsidRPr="00A30835" w:rsidRDefault="00AF4950" w:rsidP="00A30835">
      <w:pPr>
        <w:pStyle w:val="p1a"/>
      </w:pPr>
      <w:r w:rsidRPr="00A30835">
        <w:t>This article presents four new urban center allocation methods that, when used collectively, form a powerful tool for city analysis. While existing research often focuses on only one aspect of the topic, the methods in this article allow for a comprehensive examination of cities worldwide from diverse perspectives, o</w:t>
      </w:r>
      <w:r w:rsidR="00241708" w:rsidRPr="00A30835">
        <w:t>vercoming previous limitations.</w:t>
      </w:r>
    </w:p>
    <w:p w14:paraId="4D559AAB" w14:textId="0C4BCBFD" w:rsidR="00AF4950" w:rsidRDefault="00AF4950" w:rsidP="00A30835">
      <w:r>
        <w:t>Each method can be used individually, but their integration enables a holistic understanding of urban centers, significantly enhancing geo-analysis and urban center definition and extraction.</w:t>
      </w:r>
      <w:r w:rsidRPr="00AF4950">
        <w:t xml:space="preserve"> </w:t>
      </w:r>
      <w:r>
        <w:t xml:space="preserve">Fig. 14e illustrates the combined outcomes of all four methods. Comparing the individual methods with existing literature, Fig. 14a identifies central settlement places efficiently based on connectivity and population density. Fig. 14b introduces innovative attraction point clustering, enhancing precision. Fig. 14c </w:t>
      </w:r>
      <w:r>
        <w:lastRenderedPageBreak/>
        <w:t>provides a nuanced understanding of POI dynamics, and Fig. 14d visualiz</w:t>
      </w:r>
      <w:r w:rsidR="00241708">
        <w:t>es city development directions.</w:t>
      </w:r>
    </w:p>
    <w:p w14:paraId="1EF72DBB" w14:textId="681B73E7" w:rsidR="00AF4950" w:rsidRPr="00AF4950" w:rsidRDefault="00AF4950" w:rsidP="00A30835">
      <w:r>
        <w:t>In conclusion, these four methods offer a comprehensive urban analysis toolset, providing valuable insights for city planning and development. Their integration bridges research gaps and opens avenues for further exploration in this field.</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6390DFD7">
            <wp:extent cx="4099560" cy="2891269"/>
            <wp:effectExtent l="0" t="0" r="0" b="444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139428" cy="2919386"/>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369A013C" w:rsidR="005A6ACB" w:rsidRDefault="004004C4" w:rsidP="004004C4">
      <w:pPr>
        <w:jc w:val="center"/>
      </w:pPr>
      <w:r>
        <w:t xml:space="preserve">Figure </w:t>
      </w:r>
      <w:r w:rsidR="00696CAB">
        <w:rPr>
          <w:noProof/>
        </w:rPr>
        <w:fldChar w:fldCharType="begin"/>
      </w:r>
      <w:r w:rsidR="00696CAB">
        <w:rPr>
          <w:noProof/>
        </w:rPr>
        <w:instrText xml:space="preserve"> SEQ Figure \* ARABIC </w:instrText>
      </w:r>
      <w:r w:rsidR="00696CAB">
        <w:rPr>
          <w:noProof/>
        </w:rPr>
        <w:fldChar w:fldCharType="separate"/>
      </w:r>
      <w:r w:rsidR="006205FC">
        <w:rPr>
          <w:noProof/>
        </w:rPr>
        <w:t>14</w:t>
      </w:r>
      <w:r w:rsidR="00696CAB">
        <w:rPr>
          <w:noProof/>
        </w:rPr>
        <w:fldChar w:fldCharType="end"/>
      </w:r>
      <w:r>
        <w:t xml:space="preserve"> - </w:t>
      </w:r>
      <w:r w:rsidR="00FF7BDD" w:rsidRPr="00FF7BDD">
        <w:t>Verification</w:t>
      </w:r>
      <w:r w:rsidRPr="00A470B1">
        <w:t xml:space="preserve"> of the methods of allocation of urban centers</w:t>
      </w:r>
    </w:p>
    <w:p w14:paraId="2C1F42ED" w14:textId="1D4EA0F6" w:rsidR="008D1D13" w:rsidRPr="008D1D13" w:rsidRDefault="008D1D13" w:rsidP="00015200">
      <w:pPr>
        <w:pStyle w:val="heading1"/>
      </w:pPr>
      <w:r>
        <w:t>Conclusion</w:t>
      </w:r>
    </w:p>
    <w:p w14:paraId="3B21AD07" w14:textId="3ED45F72" w:rsidR="00DE3C0B" w:rsidRDefault="001B1A99" w:rsidP="001B1A99">
      <w:pPr>
        <w:pStyle w:val="p1a"/>
      </w:pPr>
      <w:r w:rsidRPr="001B1A99">
        <w:t>T</w:t>
      </w:r>
      <w:r w:rsidR="00B23CA4" w:rsidRPr="001B1A99">
        <w:t xml:space="preserve">his article </w:t>
      </w:r>
      <w:r>
        <w:t>proposed a new approach of identifying existing urban centers and subcenters based on open data. It can be used</w:t>
      </w:r>
      <w:r w:rsidR="00B23CA4" w:rsidRPr="001B1A99">
        <w:t xml:space="preserve"> for addressing specific challenges</w:t>
      </w:r>
      <w:r>
        <w:t xml:space="preserve"> and</w:t>
      </w:r>
      <w:r w:rsidR="00B23CA4" w:rsidRPr="001B1A99">
        <w:t xml:space="preserve"> conducting comprehensive analyses of cities.</w:t>
      </w:r>
      <w:r w:rsidR="00CB29CA">
        <w:t xml:space="preserve"> </w:t>
      </w:r>
      <w:r>
        <w:t xml:space="preserve">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The proposed method is very flexible due to the use of 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4A481C07" w14:textId="77777777" w:rsidR="00015200" w:rsidRDefault="00015200" w:rsidP="00015200">
      <w:pPr>
        <w:pStyle w:val="heading1"/>
      </w:pPr>
      <w:r w:rsidRPr="00015200">
        <w:t xml:space="preserve">Acknowledgements </w:t>
      </w:r>
    </w:p>
    <w:p w14:paraId="4FF12AC2" w14:textId="13592BE9" w:rsidR="00015200" w:rsidRPr="006205FC" w:rsidRDefault="00015200" w:rsidP="00015200">
      <w:pPr>
        <w:pStyle w:val="p1a"/>
      </w:pPr>
      <w:r w:rsidRPr="00015200">
        <w:t>This research is financially supported by The Russian Science Foundation, Agreement №17-71-30029 (</w:t>
      </w:r>
      <w:hyperlink r:id="rId23" w:tgtFrame="_blank" w:history="1">
        <w:r w:rsidRPr="00015200">
          <w:t>https://rscf.ru/en/project/17-71-30029/</w:t>
        </w:r>
      </w:hyperlink>
      <w:r w:rsidRPr="00015200">
        <w:t>), with co-financing of Bank Saint-Petersburg</w:t>
      </w:r>
      <w:r w:rsidR="006205FC" w:rsidRPr="00A23DAC">
        <w:t>.</w:t>
      </w:r>
    </w:p>
    <w:p w14:paraId="51136E19" w14:textId="77777777" w:rsidR="00606587" w:rsidRPr="00241708" w:rsidRDefault="009B2539" w:rsidP="00606587">
      <w:pPr>
        <w:pStyle w:val="heading1"/>
        <w:numPr>
          <w:ilvl w:val="0"/>
          <w:numId w:val="0"/>
        </w:numPr>
        <w:ind w:left="567" w:hanging="567"/>
        <w:rPr>
          <w:lang w:val="ru-RU"/>
        </w:rPr>
      </w:pPr>
      <w:r>
        <w:lastRenderedPageBreak/>
        <w:t>References</w:t>
      </w:r>
    </w:p>
    <w:p w14:paraId="5C9FD84A" w14:textId="2137F45D" w:rsidR="007E7D7D" w:rsidRDefault="007E7D7D" w:rsidP="007E7D7D">
      <w:pPr>
        <w:pStyle w:val="p1a"/>
        <w:numPr>
          <w:ilvl w:val="0"/>
          <w:numId w:val="17"/>
        </w:numPr>
      </w:pPr>
      <w:r w:rsidRPr="007E7D7D">
        <w:t>Zoey</w:t>
      </w:r>
      <w:r w:rsidR="006A6C57">
        <w:t xml:space="preserve"> W., </w:t>
      </w:r>
      <w:r w:rsidRPr="007E7D7D">
        <w:t xml:space="preserve">Rongrong </w:t>
      </w:r>
      <w:r w:rsidR="006A6C57">
        <w:t xml:space="preserve">L., </w:t>
      </w:r>
      <w:r w:rsidRPr="007E7D7D">
        <w:t xml:space="preserve">Yidie </w:t>
      </w:r>
      <w:r w:rsidR="006A6C57">
        <w:t>Z</w:t>
      </w:r>
      <w:r w:rsidRPr="007E7D7D">
        <w:t xml:space="preserve">. Financial services, spatial agglomeration, and the quality of urban economic growth–based on an empirical analysis of 268 cities in China. Finance Research Letters. 43. </w:t>
      </w:r>
      <w:r w:rsidR="006A6C57">
        <w:t>(2021)</w:t>
      </w:r>
    </w:p>
    <w:p w14:paraId="74DC3BC3" w14:textId="6505F815" w:rsidR="006A6C57" w:rsidRDefault="006A6C57" w:rsidP="006A6C57">
      <w:pPr>
        <w:pStyle w:val="ListParagraph"/>
        <w:numPr>
          <w:ilvl w:val="0"/>
          <w:numId w:val="17"/>
        </w:numPr>
      </w:pPr>
      <w:r w:rsidRPr="006A6C57">
        <w:t>Mohammad Firoz</w:t>
      </w:r>
      <w:r w:rsidR="00241708">
        <w:t xml:space="preserve"> K.,</w:t>
      </w:r>
      <w:r w:rsidRPr="006A6C57">
        <w:t xml:space="preserve"> Subia </w:t>
      </w:r>
      <w:r w:rsidR="00241708">
        <w:t>A., Bapon B</w:t>
      </w:r>
      <w:r w:rsidRPr="006A6C57">
        <w:t xml:space="preserve">. Quality of Urban Environment: A Critical Review of Approaches and Methodologies. Current Urban Studies. 3. </w:t>
      </w:r>
      <w:r w:rsidR="00241708">
        <w:t>(2015)</w:t>
      </w:r>
    </w:p>
    <w:p w14:paraId="5443D6AC" w14:textId="25032964" w:rsidR="00241708" w:rsidRPr="006A6C57" w:rsidRDefault="00241708" w:rsidP="00241708">
      <w:pPr>
        <w:pStyle w:val="ListParagraph"/>
        <w:numPr>
          <w:ilvl w:val="0"/>
          <w:numId w:val="17"/>
        </w:numPr>
      </w:pPr>
      <w:r>
        <w:t>Dickinson J</w:t>
      </w:r>
      <w:r w:rsidRPr="00241708">
        <w:t>. (2019). Quasi-Public Place-Governance: An Exploration of Shopping Centres. Business Law Review. 40. 161. 10.54648/BULA2019021.</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ListParagraph"/>
        <w:numPr>
          <w:ilvl w:val="0"/>
          <w:numId w:val="17"/>
        </w:numPr>
      </w:pPr>
      <w:r w:rsidRPr="00DD2997">
        <w:t xml:space="preserve">Katynsus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ListParagraph"/>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3</w:t>
      </w:r>
      <w:r w:rsidR="00E53928">
        <w:t>nd edn.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ListParagraph"/>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ListParagraph"/>
        <w:numPr>
          <w:ilvl w:val="0"/>
          <w:numId w:val="17"/>
        </w:numPr>
      </w:pPr>
      <w:r w:rsidRPr="00E53928">
        <w:t>Oldenburg R. The Great Good Place: Cafes, Coffee Shops, Bookstores, Bars, Hair Salons, and Other. 3nd edn. Marlowe &amp; Company, US (1989).</w:t>
      </w:r>
    </w:p>
    <w:p w14:paraId="67941CBA" w14:textId="0157CB38" w:rsidR="00423445" w:rsidRDefault="00423445" w:rsidP="00E53928">
      <w:pPr>
        <w:pStyle w:val="ListParagraph"/>
        <w:numPr>
          <w:ilvl w:val="0"/>
          <w:numId w:val="17"/>
        </w:numPr>
      </w:pPr>
      <w:r w:rsidRPr="00423445">
        <w:t>Ghadiri, Mehdi</w:t>
      </w:r>
      <w:r w:rsidR="008B187E" w:rsidRPr="008B187E">
        <w:t xml:space="preserve">, </w:t>
      </w:r>
      <w:r w:rsidR="008B187E">
        <w:t>Rassafi,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pр.</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ListParagraph"/>
        <w:numPr>
          <w:ilvl w:val="0"/>
          <w:numId w:val="17"/>
        </w:numPr>
      </w:pPr>
      <w:r w:rsidRPr="00423445">
        <w:t>Yamu H.C. Space syntax: A method to measure urban space related to so-cial, economic and cognitive factors // The Virtual And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ListParagraph"/>
        <w:numPr>
          <w:ilvl w:val="0"/>
          <w:numId w:val="17"/>
        </w:numPr>
      </w:pPr>
      <w:r w:rsidRPr="00423445">
        <w:t>Hudec, Mir</w:t>
      </w:r>
      <w:r w:rsidR="00E53928">
        <w:t>oslav &amp; Vujosevic, Mirko</w:t>
      </w:r>
      <w:r w:rsidRPr="00423445">
        <w:t>. Integration of a Fuzzy Sys-tem and an Information System for the Territorial Units Ranki</w:t>
      </w:r>
      <w:r w:rsidR="008B187E">
        <w:t>ng</w:t>
      </w:r>
      <w:r w:rsidR="008B187E" w:rsidRPr="008B187E">
        <w:t xml:space="preserve">, </w:t>
      </w:r>
      <w:r w:rsidR="008B187E">
        <w:rPr>
          <w:lang w:val="ru-RU"/>
        </w:rPr>
        <w:t>р</w:t>
      </w:r>
      <w:r w:rsidR="00E53928">
        <w:rPr>
          <w:lang w:val="ru-RU"/>
        </w:rPr>
        <w:t>р</w:t>
      </w:r>
      <w:r w:rsidR="008B187E" w:rsidRPr="008B187E">
        <w:t>.</w:t>
      </w:r>
      <w:r w:rsidRPr="00423445">
        <w:t xml:space="preserve"> 374-377</w:t>
      </w:r>
      <w:r w:rsidR="008B187E" w:rsidRPr="008B187E">
        <w:t>, (2007)</w:t>
      </w:r>
    </w:p>
    <w:p w14:paraId="4480814A" w14:textId="6A071191" w:rsidR="00423445" w:rsidRDefault="00AB747A" w:rsidP="000673BA">
      <w:pPr>
        <w:pStyle w:val="ListParagraph"/>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ListParagraph"/>
        <w:numPr>
          <w:ilvl w:val="0"/>
          <w:numId w:val="17"/>
        </w:numPr>
      </w:pPr>
      <w:r>
        <w:t>Pereira R</w:t>
      </w:r>
      <w:r w:rsidRPr="000673BA">
        <w:t>.,</w:t>
      </w:r>
      <w:r>
        <w:t xml:space="preserve"> Nadalin V.</w:t>
      </w:r>
      <w:r w:rsidRPr="000673BA">
        <w:t>,</w:t>
      </w:r>
      <w:r>
        <w:t xml:space="preserve"> Monasterio</w:t>
      </w:r>
      <w:r w:rsidRPr="000673BA">
        <w:t xml:space="preserve"> </w:t>
      </w:r>
      <w:r>
        <w:t xml:space="preserve"> L.</w:t>
      </w:r>
      <w:r w:rsidRPr="000673BA">
        <w:t>,</w:t>
      </w:r>
      <w:r>
        <w:t>Albuquerque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ListParagraph"/>
        <w:numPr>
          <w:ilvl w:val="0"/>
          <w:numId w:val="17"/>
        </w:numPr>
      </w:pPr>
      <w:r>
        <w:t>Em,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ListParagraph"/>
        <w:numPr>
          <w:ilvl w:val="0"/>
          <w:numId w:val="17"/>
        </w:numPr>
      </w:pPr>
      <w:r>
        <w:t>ŠIMON, M.</w:t>
      </w:r>
      <w:r w:rsidRPr="00401073">
        <w:t xml:space="preserve"> Counterurbanization: Condemned to Be a Chaotic Conception? Ge</w:t>
      </w:r>
      <w:r>
        <w:t>ograﬁe, 116, No. 3, pp. 231–255</w:t>
      </w:r>
      <w:r w:rsidRPr="00401073">
        <w:t>, (2011)</w:t>
      </w:r>
    </w:p>
    <w:p w14:paraId="4F59015C" w14:textId="1AAF22AA" w:rsidR="00124FFA" w:rsidRDefault="00124FFA" w:rsidP="00DD2997">
      <w:pPr>
        <w:pStyle w:val="ListParagraph"/>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ListParagraph"/>
        <w:numPr>
          <w:ilvl w:val="0"/>
          <w:numId w:val="17"/>
        </w:numPr>
      </w:pPr>
      <w:r w:rsidRPr="00124FFA">
        <w:t>M. E. J. Newman: Mathematics of networks. The New Palgrave Encyclopedia of Economics. 2nd edi-tion. Palgrave Macmillan, Basingstoke (2008)</w:t>
      </w:r>
      <w:r>
        <w:t>.</w:t>
      </w:r>
    </w:p>
    <w:p w14:paraId="04BA165C" w14:textId="77777777" w:rsidR="00124FFA" w:rsidRPr="00124FFA" w:rsidRDefault="00124FFA" w:rsidP="00124FFA">
      <w:pPr>
        <w:pStyle w:val="ListParagraph"/>
        <w:numPr>
          <w:ilvl w:val="0"/>
          <w:numId w:val="17"/>
        </w:numPr>
      </w:pPr>
      <w:r w:rsidRPr="00124FFA">
        <w:lastRenderedPageBreak/>
        <w:t>Chen Zhong, Markus Schläpfer, Stefan Müller Arisona, Michael Batty, Carlo Ratti, and Gerhard Schmitt: Revealing the Changing Spatial Structure of Cities from Human Activity Patterns. Urban Studies vol. 54, issue 2, pp. 437-455 (2016).</w:t>
      </w:r>
    </w:p>
    <w:p w14:paraId="60558B6E" w14:textId="51233829" w:rsidR="00DE3C0B" w:rsidRDefault="00124FFA" w:rsidP="00DE3C0B">
      <w:pPr>
        <w:pStyle w:val="ListParagraph"/>
        <w:numPr>
          <w:ilvl w:val="0"/>
          <w:numId w:val="17"/>
        </w:numPr>
      </w:pPr>
      <w:r w:rsidRPr="00124FFA">
        <w:t>Taras Agryzkov,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ListParagraph"/>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ListParagraph"/>
        <w:numPr>
          <w:ilvl w:val="0"/>
          <w:numId w:val="17"/>
        </w:numPr>
        <w:rPr>
          <w:rStyle w:val="Hyperlink"/>
        </w:rPr>
      </w:pPr>
      <w:r w:rsidRPr="00334382">
        <w:rPr>
          <w:rStyle w:val="Hyperlink"/>
        </w:rPr>
        <w:t>Gareth Simons</w:t>
      </w:r>
      <w:r>
        <w:rPr>
          <w:rStyle w:val="Hyperlink"/>
        </w:rPr>
        <w:t xml:space="preserve">: </w:t>
      </w:r>
      <w:r w:rsidRPr="00334382">
        <w:rPr>
          <w:rStyle w:val="Hyperlink"/>
        </w:rPr>
        <w:t>The cityseer Python package for pedestrian-scale network-based urban analysis</w:t>
      </w:r>
      <w:r>
        <w:rPr>
          <w:rStyle w:val="Hyperlink"/>
        </w:rPr>
        <w:t xml:space="preserve">. </w:t>
      </w:r>
      <w:r w:rsidRPr="00334382">
        <w:rPr>
          <w:rStyle w:val="Hyperlink"/>
        </w:rPr>
        <w:t>Environment and Planning B: Urban Analytics and City Science</w:t>
      </w:r>
      <w:r>
        <w:rPr>
          <w:rStyle w:val="Hyperlink"/>
        </w:rPr>
        <w:t xml:space="preserve"> </w:t>
      </w:r>
      <w:r w:rsidRPr="00334382">
        <w:rPr>
          <w:rStyle w:val="Hyperlink"/>
        </w:rPr>
        <w:t>0(0)</w:t>
      </w:r>
      <w:r>
        <w:rPr>
          <w:rStyle w:val="Hyperlink"/>
        </w:rPr>
        <w:t xml:space="preserve"> (2022).</w:t>
      </w:r>
    </w:p>
    <w:p w14:paraId="0DD5D846" w14:textId="6D848A0F" w:rsidR="00A55965" w:rsidRDefault="00A55965" w:rsidP="00A55965">
      <w:pPr>
        <w:pStyle w:val="ListParagraph"/>
        <w:numPr>
          <w:ilvl w:val="0"/>
          <w:numId w:val="17"/>
        </w:numPr>
      </w:pPr>
      <w:r w:rsidRPr="00A55965">
        <w:t xml:space="preserve"> Deza, M. M., Deza, E. Encyclopedia of Distances.</w:t>
      </w:r>
      <w:r w:rsidR="00AB747A">
        <w:t xml:space="preserve"> 4th</w:t>
      </w:r>
      <w:r w:rsidRPr="00A55965">
        <w:t xml:space="preserve"> </w:t>
      </w:r>
      <w:r w:rsidR="00AB747A">
        <w:t>edn</w:t>
      </w:r>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A161EE" w14:textId="77777777" w:rsidR="00CF4A73" w:rsidRDefault="00CF4A73">
      <w:r>
        <w:separator/>
      </w:r>
    </w:p>
  </w:endnote>
  <w:endnote w:type="continuationSeparator" w:id="0">
    <w:p w14:paraId="15E84F18" w14:textId="77777777" w:rsidR="00CF4A73" w:rsidRDefault="00CF4A7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DE5E0EF" w14:textId="77777777" w:rsidR="00CF4A73" w:rsidRDefault="00CF4A73" w:rsidP="009F7FCE">
      <w:pPr>
        <w:ind w:firstLine="0"/>
      </w:pPr>
      <w:r>
        <w:separator/>
      </w:r>
    </w:p>
  </w:footnote>
  <w:footnote w:type="continuationSeparator" w:id="0">
    <w:p w14:paraId="56349EC3" w14:textId="77777777" w:rsidR="00CF4A73" w:rsidRDefault="00CF4A7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87276" w14:textId="1B1D6CFD" w:rsidR="009B2539" w:rsidRDefault="009B2539" w:rsidP="00F321B4">
    <w:pPr>
      <w:pStyle w:val="Header"/>
    </w:pPr>
    <w:r>
      <w:fldChar w:fldCharType="begin"/>
    </w:r>
    <w:r>
      <w:instrText>PAGE   \* MERGEFORMAT</w:instrText>
    </w:r>
    <w:r>
      <w:fldChar w:fldCharType="separate"/>
    </w:r>
    <w:r w:rsidR="006205FC">
      <w:rPr>
        <w:noProof/>
      </w:rPr>
      <w:t>16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A88BB" w14:textId="17129799" w:rsidR="002D48C5" w:rsidRDefault="002D48C5" w:rsidP="002D48C5">
    <w:pPr>
      <w:pStyle w:val="Header"/>
      <w:jc w:val="right"/>
    </w:pPr>
    <w:r>
      <w:fldChar w:fldCharType="begin"/>
    </w:r>
    <w:r>
      <w:instrText>PAGE   \* MERGEFORMAT</w:instrText>
    </w:r>
    <w:r>
      <w:fldChar w:fldCharType="separate"/>
    </w:r>
    <w:r w:rsidR="006205FC">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2"/>
  </w:num>
  <w:num w:numId="3">
    <w:abstractNumId w:val="6"/>
  </w:num>
  <w:num w:numId="4">
    <w:abstractNumId w:val="6"/>
  </w:num>
  <w:num w:numId="5">
    <w:abstractNumId w:val="9"/>
  </w:num>
  <w:num w:numId="6">
    <w:abstractNumId w:val="9"/>
  </w:num>
  <w:num w:numId="7">
    <w:abstractNumId w:val="8"/>
  </w:num>
  <w:num w:numId="8">
    <w:abstractNumId w:val="10"/>
  </w:num>
  <w:num w:numId="9">
    <w:abstractNumId w:val="10"/>
  </w:num>
  <w:num w:numId="10">
    <w:abstractNumId w:val="0"/>
  </w:num>
  <w:num w:numId="11">
    <w:abstractNumId w:val="8"/>
  </w:num>
  <w:num w:numId="12">
    <w:abstractNumId w:val="4"/>
  </w:num>
  <w:num w:numId="13">
    <w:abstractNumId w:val="3"/>
  </w:num>
  <w:num w:numId="14">
    <w:abstractNumId w:val="7"/>
  </w:num>
  <w:num w:numId="15">
    <w:abstractNumId w:val="1"/>
  </w:num>
  <w:num w:numId="16">
    <w:abstractNumId w:val="8"/>
    <w:lvlOverride w:ilvl="0">
      <w:startOverride w:val="2"/>
    </w:lvlOverride>
    <w:lvlOverride w:ilvl="1">
      <w:startOverride w:val="4"/>
    </w:lvlOverride>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15200"/>
    <w:rsid w:val="00022469"/>
    <w:rsid w:val="00033092"/>
    <w:rsid w:val="0003320B"/>
    <w:rsid w:val="00046833"/>
    <w:rsid w:val="0005591C"/>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1708"/>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A2D5B"/>
    <w:rsid w:val="004C1305"/>
    <w:rsid w:val="004F1902"/>
    <w:rsid w:val="004F78DE"/>
    <w:rsid w:val="00507BFE"/>
    <w:rsid w:val="00507D04"/>
    <w:rsid w:val="005105C9"/>
    <w:rsid w:val="00520041"/>
    <w:rsid w:val="00524A82"/>
    <w:rsid w:val="005307E8"/>
    <w:rsid w:val="00543ADC"/>
    <w:rsid w:val="0054697F"/>
    <w:rsid w:val="005478B6"/>
    <w:rsid w:val="00550798"/>
    <w:rsid w:val="005626FE"/>
    <w:rsid w:val="0057403E"/>
    <w:rsid w:val="0057631B"/>
    <w:rsid w:val="0058036A"/>
    <w:rsid w:val="005965B1"/>
    <w:rsid w:val="005A3C1B"/>
    <w:rsid w:val="005A4F45"/>
    <w:rsid w:val="005A6ACB"/>
    <w:rsid w:val="005B670F"/>
    <w:rsid w:val="006154E5"/>
    <w:rsid w:val="006205FC"/>
    <w:rsid w:val="00640743"/>
    <w:rsid w:val="00643814"/>
    <w:rsid w:val="006671BD"/>
    <w:rsid w:val="00674153"/>
    <w:rsid w:val="00696CAB"/>
    <w:rsid w:val="006A3271"/>
    <w:rsid w:val="006A6C57"/>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7E7D7D"/>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47425"/>
    <w:rsid w:val="009844DE"/>
    <w:rsid w:val="009930E4"/>
    <w:rsid w:val="009B1198"/>
    <w:rsid w:val="009B2539"/>
    <w:rsid w:val="009B3E8D"/>
    <w:rsid w:val="009E037B"/>
    <w:rsid w:val="009E58FA"/>
    <w:rsid w:val="009F25F3"/>
    <w:rsid w:val="009F7FCE"/>
    <w:rsid w:val="00A073BA"/>
    <w:rsid w:val="00A21A38"/>
    <w:rsid w:val="00A23DAC"/>
    <w:rsid w:val="00A30835"/>
    <w:rsid w:val="00A31245"/>
    <w:rsid w:val="00A36925"/>
    <w:rsid w:val="00A40FE1"/>
    <w:rsid w:val="00A424E9"/>
    <w:rsid w:val="00A55965"/>
    <w:rsid w:val="00A579FF"/>
    <w:rsid w:val="00A62A3A"/>
    <w:rsid w:val="00A66CB1"/>
    <w:rsid w:val="00A817EB"/>
    <w:rsid w:val="00AA207D"/>
    <w:rsid w:val="00AA28A5"/>
    <w:rsid w:val="00AA5DB1"/>
    <w:rsid w:val="00AB747A"/>
    <w:rsid w:val="00AE6510"/>
    <w:rsid w:val="00AF495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5075"/>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D040D"/>
    <w:rsid w:val="00CD0F2F"/>
    <w:rsid w:val="00CD6B03"/>
    <w:rsid w:val="00CE16BC"/>
    <w:rsid w:val="00CE483A"/>
    <w:rsid w:val="00CF1810"/>
    <w:rsid w:val="00CF4A73"/>
    <w:rsid w:val="00D00FF0"/>
    <w:rsid w:val="00D02AE3"/>
    <w:rsid w:val="00D02F9D"/>
    <w:rsid w:val="00D404F0"/>
    <w:rsid w:val="00D530BE"/>
    <w:rsid w:val="00D650B5"/>
    <w:rsid w:val="00D66FC9"/>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C5431"/>
    <w:rsid w:val="00EC60B8"/>
    <w:rsid w:val="00F1403D"/>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F0C19"/>
    <w:rsid w:val="00FF0D23"/>
    <w:rsid w:val="00FF7B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073B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5B670F"/>
    <w:pPr>
      <w:ind w:left="720"/>
      <w:contextualSpacing/>
    </w:pPr>
  </w:style>
  <w:style w:type="paragraph" w:styleId="Caption">
    <w:name w:val="caption"/>
    <w:basedOn w:val="Normal"/>
    <w:next w:val="Normal"/>
    <w:unhideWhenUsed/>
    <w:rsid w:val="009B3E8D"/>
    <w:pPr>
      <w:spacing w:after="200" w:line="240" w:lineRule="auto"/>
    </w:pPr>
    <w:rPr>
      <w:i/>
      <w:iCs/>
      <w:color w:val="1F497D" w:themeColor="text2"/>
      <w:sz w:val="18"/>
      <w:szCs w:val="18"/>
    </w:rPr>
  </w:style>
  <w:style w:type="character" w:styleId="FollowedHyperlink">
    <w:name w:val="FollowedHyperlink"/>
    <w:basedOn w:val="DefaultParagraphFont"/>
    <w:semiHidden/>
    <w:unhideWhenUsed/>
    <w:rsid w:val="00334382"/>
    <w:rPr>
      <w:color w:val="800080" w:themeColor="followedHyperlink"/>
      <w:u w:val="single"/>
    </w:rPr>
  </w:style>
  <w:style w:type="character" w:customStyle="1" w:styleId="1">
    <w:name w:val="Неразрешенное упоминание1"/>
    <w:basedOn w:val="DefaultParagraphFont"/>
    <w:uiPriority w:val="99"/>
    <w:semiHidden/>
    <w:unhideWhenUsed/>
    <w:rsid w:val="002531BD"/>
    <w:rPr>
      <w:color w:val="605E5C"/>
      <w:shd w:val="clear" w:color="auto" w:fill="E1DFDD"/>
    </w:rPr>
  </w:style>
  <w:style w:type="table" w:styleId="TableGrid">
    <w:name w:val="Table Grid"/>
    <w:basedOn w:val="TableNormal"/>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DefaultParagraphFont"/>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yperlink" Target="https://rscf.ru/en/project/17-71-30029/" TargetMode="Externa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3326E0CD-F1B1-4B55-88A6-604E42C006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16</Pages>
  <Words>4798</Words>
  <Characters>27349</Characters>
  <Application>Microsoft Office Word</Application>
  <DocSecurity>0</DocSecurity>
  <Lines>227</Lines>
  <Paragraphs>64</Paragraphs>
  <ScaleCrop>false</ScaleCrop>
  <HeadingPairs>
    <vt:vector size="8" baseType="variant">
      <vt:variant>
        <vt:lpstr>Title</vt:lpstr>
      </vt:variant>
      <vt:variant>
        <vt:i4>1</vt:i4>
      </vt:variant>
      <vt:variant>
        <vt:lpstr>Название</vt:lpstr>
      </vt:variant>
      <vt:variant>
        <vt:i4>1</vt:i4>
      </vt:variant>
      <vt:variant>
        <vt:lpstr>Título</vt:lpstr>
      </vt:variant>
      <vt:variant>
        <vt:i4>1</vt:i4>
      </vt:variant>
      <vt:variant>
        <vt:lpstr>Titel</vt:lpstr>
      </vt:variant>
      <vt:variant>
        <vt:i4>1</vt:i4>
      </vt:variant>
    </vt:vector>
  </HeadingPairs>
  <TitlesOfParts>
    <vt:vector size="4" baseType="lpstr">
      <vt:lpstr/>
      <vt:lpstr/>
      <vt:lpstr/>
      <vt:lpstr/>
    </vt:vector>
  </TitlesOfParts>
  <Company>dataspect IT-Services, Neckargemuend, Germany</Company>
  <LinksUpToDate>false</LinksUpToDate>
  <CharactersWithSpaces>32083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Анна</cp:lastModifiedBy>
  <cp:revision>2</cp:revision>
  <cp:lastPrinted>2023-06-19T16:22:00Z</cp:lastPrinted>
  <dcterms:created xsi:type="dcterms:W3CDTF">2023-08-04T09:01:00Z</dcterms:created>
  <dcterms:modified xsi:type="dcterms:W3CDTF">2023-08-04T09:01:00Z</dcterms:modified>
</cp:coreProperties>
</file>