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C528ED" w14:textId="61D943B3" w:rsidR="009F7FCE" w:rsidRPr="00EE426C" w:rsidRDefault="00926B19" w:rsidP="00C24DEF">
      <w:pPr>
        <w:pStyle w:val="papertitle"/>
      </w:pPr>
      <w:r w:rsidRPr="00926B19">
        <w:t>Methods of allocation of urban centers</w:t>
      </w:r>
    </w:p>
    <w:p w14:paraId="37128224" w14:textId="0F210C0A"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xml:space="preserve">, Ekaterina </w:t>
      </w:r>
      <w:r w:rsidR="00224FCD" w:rsidRPr="00224FCD">
        <w:t>Shapovalenko</w:t>
      </w:r>
      <w:r w:rsidR="00A36925">
        <w:rPr>
          <w:rStyle w:val="ORCID"/>
        </w:rPr>
        <w:t>1</w:t>
      </w:r>
      <w:r w:rsidR="00224FCD">
        <w:rPr>
          <w:rStyle w:val="ORCID"/>
        </w:rPr>
        <w:t>[1111-2222-3333-4444]</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proofErr w:type="gramStart"/>
      <w:r w:rsidR="00224FCD">
        <w:rPr>
          <w:lang w:val="de-DE"/>
        </w:rPr>
        <w:t>ITMO University</w:t>
      </w:r>
      <w:proofErr w:type="gramEnd"/>
      <w:r>
        <w:rPr>
          <w:lang w:val="de-DE"/>
        </w:rPr>
        <w:t>,</w:t>
      </w:r>
      <w:r w:rsidR="00224FCD" w:rsidRPr="00224FCD">
        <w:t xml:space="preserve"> </w:t>
      </w:r>
      <w:r w:rsidR="00224FCD">
        <w:t>Saint-Petersburg</w:t>
      </w:r>
      <w:r w:rsidR="004F78DE">
        <w:t xml:space="preserve">, </w:t>
      </w:r>
      <w:proofErr w:type="spellStart"/>
      <w:r w:rsidR="004F78DE">
        <w:t>Birzhevaya</w:t>
      </w:r>
      <w:proofErr w:type="spellEnd"/>
      <w:r w:rsidR="004F78DE">
        <w:t xml:space="preserve">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w:t>
      </w:r>
      <w:proofErr w:type="spellStart"/>
      <w:r w:rsidR="00166B4F" w:rsidRPr="00166B4F">
        <w:t>Miass</w:t>
      </w:r>
      <w:proofErr w:type="spell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1730639A" w14:textId="4AC678DE" w:rsidR="006B21D4" w:rsidRPr="00927D1B" w:rsidRDefault="009F25F3" w:rsidP="00E875BB">
      <w:pPr>
        <w:pStyle w:val="p1a"/>
      </w:pPr>
      <w:r w:rsidRPr="00927D1B">
        <w:t>The paper addresses the problem of identifying and modeling central location systems in modern cities. Central locations in urban environments</w:t>
      </w:r>
      <w:r w:rsidR="00927D1B" w:rsidRPr="00927D1B">
        <w:t xml:space="preserve"> </w:t>
      </w:r>
      <w:r w:rsidRPr="00927D1B">
        <w:t xml:space="preserve">are an essential concept in modern urban planning, with their emergence being caused by natural resource distribution variations throughout the city, spatial clustering tendency, </w:t>
      </w:r>
      <w:r w:rsidR="00DD2997" w:rsidRPr="00927D1B">
        <w:t>collocation,</w:t>
      </w:r>
      <w:r w:rsidRPr="00927D1B">
        <w:t xml:space="preserve"> and competition effects of urban services, as well as incompatibility effects of individual citizens' activities. The complex system of interactions between citizens and the urban environment contributes to the formation of the city's central locations</w:t>
      </w:r>
      <w:r w:rsidR="006B21D4" w:rsidRPr="00927D1B">
        <w:t>. Absence of prominent central locations blurs the urban environment, reduces its quality and accessibility to leisure facilities, and creates spontaneous migration. This is reflected in the fact that no city exists without central places, and if they are not evident or regulated, central places begin to form spontaneously in places that are not equipped for it.</w:t>
      </w:r>
    </w:p>
    <w:p w14:paraId="3B22A712" w14:textId="74DD9F20" w:rsidR="006B21D4" w:rsidRPr="00267C1B" w:rsidRDefault="009F25F3" w:rsidP="00267C1B">
      <w:r w:rsidRPr="00927D1B">
        <w:t xml:space="preserve">The methods for identifying central locations in the urban environment are particularly important when conducting preliminary studies. Failure to account for the role of transformable territory in the central location system of the city leads to significant financial losses, difficulty in ensuring the territory functions as expected, and the need </w:t>
      </w:r>
      <w:r w:rsidRPr="00927D1B">
        <w:lastRenderedPageBreak/>
        <w:t>to adapt the territory to real conditions after its transformation</w:t>
      </w:r>
      <w:r w:rsidR="00F35DC3" w:rsidRPr="00927D1B">
        <w:t>.</w:t>
      </w:r>
      <w:r w:rsidR="00CE483A" w:rsidRPr="00927D1B">
        <w:t xml:space="preserve"> </w:t>
      </w:r>
      <w:r w:rsidR="00267C1B">
        <w:t>D</w:t>
      </w:r>
      <w:r w:rsidRPr="00927D1B">
        <w:t>ue to the ambiguity of the central location concept</w:t>
      </w:r>
      <w:r w:rsidR="00267C1B">
        <w:t xml:space="preserve">, </w:t>
      </w:r>
      <w:r w:rsidR="00267C1B" w:rsidRPr="00927D1B">
        <w:t>there is a lack of established methodological approaches to solving this problem</w:t>
      </w:r>
      <w:r w:rsidR="00267C1B">
        <w:t>.</w:t>
      </w:r>
    </w:p>
    <w:p w14:paraId="2B78A3E1" w14:textId="548CFF7F" w:rsidR="000F5303" w:rsidRPr="00927D1B" w:rsidRDefault="009F25F3" w:rsidP="006B21D4">
      <w:r w:rsidRPr="00927D1B">
        <w:t>Residential central locations</w:t>
      </w:r>
      <w:r w:rsidR="006A3271" w:rsidRPr="006A3271">
        <w:t xml:space="preserve"> </w:t>
      </w:r>
      <w:r w:rsidR="00DD2997" w:rsidRPr="006A3271">
        <w:t>– areas</w:t>
      </w:r>
      <w:r w:rsidRPr="00927D1B">
        <w:t xml:space="preserve"> </w:t>
      </w:r>
      <w:r w:rsidR="00267C1B">
        <w:t>with</w:t>
      </w:r>
      <w:r w:rsidRPr="00927D1B">
        <w:t xml:space="preserve"> an increased concentration of the population according to the established settlement system. </w:t>
      </w:r>
      <w:r w:rsidR="00E50087">
        <w:t>They are</w:t>
      </w:r>
      <w:r w:rsidR="00E50087" w:rsidRPr="00927D1B">
        <w:t xml:space="preserve"> important for determining the structure of agglomerations</w:t>
      </w:r>
      <w:r w:rsidR="00E50087">
        <w:t>.</w:t>
      </w:r>
    </w:p>
    <w:p w14:paraId="4591B352" w14:textId="218D733A" w:rsidR="002C4604" w:rsidRPr="00927D1B" w:rsidRDefault="009F25F3" w:rsidP="006B21D4">
      <w:r w:rsidRPr="00927D1B">
        <w:t>Urban activity central locations</w:t>
      </w:r>
      <w:r w:rsidR="00267C1B">
        <w:t xml:space="preserve"> </w:t>
      </w:r>
      <w:r w:rsidR="00DD2997" w:rsidRPr="006A3271">
        <w:t>–</w:t>
      </w:r>
      <w:r w:rsidR="00267C1B">
        <w:t xml:space="preserve"> </w:t>
      </w:r>
      <w:r w:rsidRPr="00927D1B">
        <w:t xml:space="preserve">attraction zones for the daily activities of city residents. </w:t>
      </w:r>
      <w:r w:rsidR="00267C1B">
        <w:t>They are</w:t>
      </w:r>
      <w:r w:rsidRPr="00927D1B">
        <w:t xml:space="preserve"> important for planning leisure or recreational spaces</w:t>
      </w:r>
      <w:r w:rsidR="002E3312" w:rsidRPr="00927D1B">
        <w:t xml:space="preserve">. </w:t>
      </w:r>
    </w:p>
    <w:p w14:paraId="40A3B2D4" w14:textId="7FC95FDE" w:rsidR="002E3312" w:rsidRPr="00927D1B" w:rsidRDefault="009F25F3" w:rsidP="006B21D4">
      <w:r w:rsidRPr="00927D1B">
        <w:t xml:space="preserve">There are also quasi-central locations, which attract </w:t>
      </w:r>
      <w:r w:rsidR="00267C1B" w:rsidRPr="00927D1B">
        <w:t>people</w:t>
      </w:r>
      <w:r w:rsidR="00E50087">
        <w:t xml:space="preserve"> e.g.,</w:t>
      </w:r>
      <w:r w:rsidRPr="00927D1B">
        <w:t xml:space="preserve"> transport hubs or monofunctional areas such as markets and squares. In addition, there are potential central locations. Their centrality is indicated by accessibility and connectivity, which requires the use of methods for determining agglomeration boundaries</w:t>
      </w:r>
      <w:r w:rsidR="00A40FE1" w:rsidRPr="00927D1B">
        <w:t xml:space="preserve">. </w:t>
      </w:r>
    </w:p>
    <w:p w14:paraId="06179068" w14:textId="68AB2DF8" w:rsidR="006B21D4" w:rsidRPr="00927D1B" w:rsidRDefault="009F25F3" w:rsidP="009F25F3">
      <w:r w:rsidRPr="00927D1B">
        <w:t xml:space="preserve">Therefore, identifying central locations in the urban environment is a complex task that requires a system of </w:t>
      </w:r>
      <w:r w:rsidR="00DD2997" w:rsidRPr="00927D1B">
        <w:t>metho</w:t>
      </w:r>
      <w:r w:rsidR="00DD2997">
        <w:t>ds, what will be developed in this article</w:t>
      </w:r>
      <w:r w:rsidR="00A40FE1" w:rsidRPr="00927D1B">
        <w:t xml:space="preserve">. </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36B56A8E"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w:t>
      </w:r>
      <w:proofErr w:type="spellStart"/>
      <w:r w:rsidR="00674153" w:rsidRPr="00927D1B">
        <w:t>Christaller</w:t>
      </w:r>
      <w:proofErr w:type="spellEnd"/>
      <w:r w:rsidR="00674153" w:rsidRPr="00927D1B">
        <w:t xml:space="preserve">-Lösch </w:t>
      </w:r>
      <w:r w:rsidR="0054697F" w:rsidRPr="00927D1B">
        <w:t>[</w:t>
      </w:r>
      <w:r w:rsidR="00DD2997">
        <w:t>1</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w:t>
      </w:r>
      <w:proofErr w:type="spellEnd"/>
      <w:r w:rsidR="00674153" w:rsidRPr="00927D1B">
        <w:t>-Lösch theory was developed for the supra-urban level, the concept of a central place proved to be useful for analyzing intra-urban processes</w:t>
      </w:r>
      <w:r w:rsidR="001F297E" w:rsidRPr="00927D1B">
        <w:t xml:space="preserve">. </w:t>
      </w:r>
    </w:p>
    <w:p w14:paraId="2AF556EF" w14:textId="10B932BE"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DD2997">
        <w:t>2</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423445">
        <w:t>3</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ListParagraph"/>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ListParagraph"/>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ListParagraph"/>
        <w:numPr>
          <w:ilvl w:val="0"/>
          <w:numId w:val="12"/>
        </w:numPr>
      </w:pPr>
      <w:r w:rsidRPr="00674153">
        <w:t>identification of places with high centrality potential</w:t>
      </w:r>
      <w:r w:rsidR="00DE3C0B">
        <w:t>.</w:t>
      </w:r>
    </w:p>
    <w:p w14:paraId="2F9F4C68" w14:textId="19353831" w:rsidR="00B773AB" w:rsidRDefault="000929C9" w:rsidP="00B773AB">
      <w:pPr>
        <w:pStyle w:val="ListParagraph"/>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405C4DBF"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423445">
        <w:t>4</w:t>
      </w:r>
      <w:r w:rsidRPr="004004C4">
        <w:t>] or the catchment area [</w:t>
      </w:r>
      <w:r w:rsidR="00423445">
        <w:t>5</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437B0A36" w:rsidR="008F01F2" w:rsidRPr="008F01F2" w:rsidRDefault="008F01F2" w:rsidP="008F01F2">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1B1A99">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40EFA48A">
                  <wp:extent cx="2038399" cy="1181100"/>
                  <wp:effectExtent l="0" t="0" r="0"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2041021" cy="1182619"/>
                          </a:xfrm>
                          <a:prstGeom prst="rect">
                            <a:avLst/>
                          </a:prstGeom>
                          <a:noFill/>
                          <a:ln>
                            <a:noFill/>
                          </a:ln>
                          <a:extLst>
                            <a:ext uri="{53640926-AAD7-44D8-BBD7-CCE9431645EC}">
                              <a14:shadowObscured xmlns:a14="http://schemas.microsoft.com/office/drawing/2010/main"/>
                            </a:ext>
                          </a:extLst>
                        </pic:spPr>
                      </pic:pic>
                    </a:graphicData>
                  </a:graphic>
                </wp:inline>
              </w:drawing>
            </w:r>
          </w:p>
          <w:p w14:paraId="08FFDC20" w14:textId="5FCEFAFE" w:rsidR="008F01F2"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1B1A99">
              <w:rPr>
                <w:noProof/>
                <w:sz w:val="18"/>
                <w:szCs w:val="18"/>
              </w:rPr>
              <w:t>1</w:t>
            </w:r>
            <w:r w:rsidRPr="008F01F2">
              <w:rPr>
                <w:sz w:val="18"/>
                <w:szCs w:val="18"/>
              </w:rPr>
              <w:fldChar w:fldCharType="end"/>
            </w:r>
            <w:r w:rsidRPr="008F01F2">
              <w:rPr>
                <w:sz w:val="18"/>
                <w:szCs w:val="18"/>
              </w:rPr>
              <w:t xml:space="preserve"> - Approach 1</w:t>
            </w:r>
          </w:p>
          <w:p w14:paraId="1B2D56F9" w14:textId="47BE375D" w:rsidR="008F01F2" w:rsidRPr="009A3755" w:rsidRDefault="008F01F2" w:rsidP="008F01F2">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00C43AC" w:rsidR="008F01F2" w:rsidRPr="00243E6D" w:rsidRDefault="008F01F2" w:rsidP="008F01F2">
            <w:pPr>
              <w:ind w:firstLine="0"/>
            </w:pPr>
            <w:r w:rsidRPr="00243E6D">
              <w:t>Territory decomposition based on a grid of regular geometric shapes with the assignment of centrality sc</w:t>
            </w:r>
            <w:r>
              <w:t>ores for each shape [</w:t>
            </w:r>
            <w:r w:rsidR="00423445">
              <w:t>6</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668864C3">
                  <wp:extent cx="2033777" cy="1145443"/>
                  <wp:effectExtent l="0" t="0" r="5080" b="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042098" cy="1150129"/>
                          </a:xfrm>
                          <a:prstGeom prst="rect">
                            <a:avLst/>
                          </a:prstGeom>
                          <a:noFill/>
                          <a:ln>
                            <a:noFill/>
                          </a:ln>
                        </pic:spPr>
                      </pic:pic>
                    </a:graphicData>
                  </a:graphic>
                </wp:inline>
              </w:drawing>
            </w:r>
          </w:p>
          <w:p w14:paraId="20B19660" w14:textId="27B81773" w:rsidR="008F01F2" w:rsidRPr="009A3755"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1B1A99">
              <w:rPr>
                <w:noProof/>
                <w:sz w:val="18"/>
                <w:szCs w:val="18"/>
              </w:rPr>
              <w:t>2</w:t>
            </w:r>
            <w:r w:rsidRPr="008F01F2">
              <w:rPr>
                <w:sz w:val="18"/>
                <w:szCs w:val="18"/>
              </w:rPr>
              <w:fldChar w:fldCharType="end"/>
            </w:r>
            <w:r w:rsidRPr="008F01F2">
              <w:rPr>
                <w:sz w:val="18"/>
                <w:szCs w:val="18"/>
              </w:rPr>
              <w:t xml:space="preserve"> - Approach 2</w:t>
            </w:r>
            <w:r w:rsidR="008543AE">
              <w:rPr>
                <w:sz w:val="18"/>
                <w:szCs w:val="18"/>
              </w:rPr>
              <w:br/>
            </w:r>
          </w:p>
        </w:tc>
      </w:tr>
      <w:tr w:rsidR="008F01F2" w:rsidRPr="009A3755" w14:paraId="786E4635" w14:textId="77777777" w:rsidTr="00B773AB">
        <w:trPr>
          <w:trHeight w:val="59"/>
          <w:jc w:val="center"/>
        </w:trPr>
        <w:tc>
          <w:tcPr>
            <w:tcW w:w="3116" w:type="dxa"/>
            <w:vAlign w:val="center"/>
          </w:tcPr>
          <w:p w14:paraId="55932355" w14:textId="218D0D81" w:rsidR="008F01F2" w:rsidRPr="009A3755" w:rsidRDefault="008F01F2" w:rsidP="002076FD">
            <w:pPr>
              <w:ind w:firstLine="0"/>
              <w:jc w:val="left"/>
              <w:rPr>
                <w:sz w:val="18"/>
                <w:szCs w:val="18"/>
              </w:rPr>
            </w:pPr>
            <w:r w:rsidRPr="00243E6D">
              <w:t>Ranking of linear objects [</w:t>
            </w:r>
            <w:r w:rsidR="00423445">
              <w:t>7</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inline distT="0" distB="0" distL="0" distR="0" wp14:anchorId="2F7FE7BF" wp14:editId="092D8100">
                  <wp:extent cx="1601258" cy="1226820"/>
                  <wp:effectExtent l="0" t="0" r="0" b="0"/>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05025" cy="1229706"/>
                          </a:xfrm>
                          <a:prstGeom prst="rect">
                            <a:avLst/>
                          </a:prstGeom>
                          <a:noFill/>
                          <a:ln>
                            <a:noFill/>
                          </a:ln>
                        </pic:spPr>
                      </pic:pic>
                    </a:graphicData>
                  </a:graphic>
                </wp:inline>
              </w:drawing>
            </w:r>
          </w:p>
          <w:p w14:paraId="08BF5FA1" w14:textId="31558318"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1B1A99">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B4BD69F" w:rsidR="008F01F2" w:rsidRPr="009A3755" w:rsidRDefault="008F01F2" w:rsidP="002076FD">
            <w:pPr>
              <w:ind w:firstLine="0"/>
              <w:jc w:val="left"/>
              <w:rPr>
                <w:sz w:val="18"/>
                <w:szCs w:val="18"/>
              </w:rPr>
            </w:pPr>
            <w:r w:rsidRPr="00243E6D">
              <w:t xml:space="preserve">Ranking of </w:t>
            </w:r>
            <w:r>
              <w:t>territorial planning units [</w:t>
            </w:r>
            <w:r w:rsidR="00423445">
              <w:t>8</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73ACEC1F">
                  <wp:extent cx="1523901" cy="931652"/>
                  <wp:effectExtent l="0" t="0" r="635" b="1905"/>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extLst>
                              <a:ext uri="{28A0092B-C50C-407E-A947-70E740481C1C}">
                                <a14:useLocalDpi xmlns:a14="http://schemas.microsoft.com/office/drawing/2010/main" val="0"/>
                              </a:ext>
                            </a:extLst>
                          </a:blip>
                          <a:srcRect t="10786" b="24480"/>
                          <a:stretch/>
                        </pic:blipFill>
                        <pic:spPr bwMode="auto">
                          <a:xfrm>
                            <a:off x="0" y="0"/>
                            <a:ext cx="1524739" cy="932164"/>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F64422D"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1B1A99">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B773AB">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3057BBF5"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423445" w:rsidRPr="00423445">
        <w:t>9</w:t>
      </w:r>
      <w:r w:rsidR="0033569B" w:rsidRPr="0033569B">
        <w:t>]. This method is applied to both individual planning units and linear objects.    Another approach involves assessing the density of the resident population [</w:t>
      </w:r>
      <w:r w:rsidR="00124FFA">
        <w:t>10</w:t>
      </w:r>
      <w:r w:rsidR="0033569B" w:rsidRPr="0033569B">
        <w:t>]. These methods aim to identify the structure of the settlement system and serve to align demand and supply in the territory.</w:t>
      </w:r>
    </w:p>
    <w:p w14:paraId="727DB411" w14:textId="5CC61485"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124FFA">
        <w:t xml:space="preserve"> [11]</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124FFA">
        <w:t xml:space="preserve"> [12]</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360E0FFA" w:rsidR="00A817EB" w:rsidRPr="00A817EB" w:rsidRDefault="00A817EB" w:rsidP="00A817EB">
      <w:r w:rsidRPr="00A817EB">
        <w:t>•</w:t>
      </w:r>
      <w:r w:rsidRPr="00A817EB">
        <w:tab/>
        <w:t>methods based on clustering spatial units with high centrality indices [</w:t>
      </w:r>
      <w:r w:rsidR="00124FFA">
        <w:t>13</w:t>
      </w:r>
      <w:r w:rsidR="00124FFA" w:rsidRPr="00A817EB">
        <w:t>].</w:t>
      </w:r>
    </w:p>
    <w:p w14:paraId="4272C366" w14:textId="7FAA237E"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124FFA">
        <w:t>14].</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4596A726" w:rsidR="009E58FA" w:rsidRPr="00927D1B" w:rsidRDefault="00E875BB" w:rsidP="002D391A">
      <w:pPr>
        <w:pStyle w:val="heading2"/>
        <w:numPr>
          <w:ilvl w:val="1"/>
          <w:numId w:val="16"/>
        </w:numPr>
      </w:pPr>
      <w:r w:rsidRPr="00E875BB">
        <w:t>Information technologies in the centrality of urban spaces assessment</w:t>
      </w:r>
    </w:p>
    <w:p w14:paraId="4AAEAD70" w14:textId="3310A7B8"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124FFA">
        <w:t>7</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6B1EB2B8" w:rsidR="002D391A" w:rsidRDefault="002D391A" w:rsidP="002D391A">
      <w:r>
        <w:t>The first method “Revealing the Changing Spatial Structure of Cities from Human Activity Patterns”</w:t>
      </w:r>
      <w:r w:rsidRPr="002531BD">
        <w:t xml:space="preserve"> </w:t>
      </w:r>
      <w:r>
        <w:t>[</w:t>
      </w:r>
      <w:r w:rsidR="00124FFA">
        <w:t>15</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6DF00AD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124FFA">
        <w:t>16</w:t>
      </w:r>
      <w:r>
        <w:t>]. In the paper discussed the method of locating the key areas of activity in urban areas of different 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C8EF8A0"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w:t>
      </w:r>
      <w:proofErr w:type="spellStart"/>
      <w:r>
        <w:t>OSMnx</w:t>
      </w:r>
      <w:proofErr w:type="spellEnd"/>
      <w:r w:rsidRPr="002531BD">
        <w:t xml:space="preserve"> </w:t>
      </w:r>
      <w:r>
        <w:t>[</w:t>
      </w:r>
      <w:r w:rsidR="00E50087">
        <w:t>17</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w:t>
      </w:r>
      <w:proofErr w:type="spellStart"/>
      <w:r>
        <w:t>NetworkX</w:t>
      </w:r>
      <w:proofErr w:type="spellEnd"/>
      <w:r w:rsidRPr="002531BD">
        <w:t xml:space="preserve"> </w:t>
      </w:r>
      <w:r>
        <w:t>[</w:t>
      </w:r>
      <w:r w:rsidR="00E50087">
        <w:t>17</w:t>
      </w:r>
      <w:r>
        <w:t xml:space="preserve">] library for calculations. Another software to measure centrality of urban spaces is the </w:t>
      </w:r>
      <w:proofErr w:type="spellStart"/>
      <w:r>
        <w:t>Cityseer-api</w:t>
      </w:r>
      <w:proofErr w:type="spellEnd"/>
      <w:r w:rsidRPr="002531BD">
        <w:t xml:space="preserve"> </w:t>
      </w:r>
      <w:r>
        <w:t>[</w:t>
      </w:r>
      <w:r w:rsidR="00E50087">
        <w:t>18</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5CCD10A6" w:rsidR="00221F93" w:rsidRPr="00BA78B2" w:rsidRDefault="00BA78B2" w:rsidP="00221F93">
      <w:pPr>
        <w:pStyle w:val="heading1"/>
      </w:pPr>
      <w:r w:rsidRPr="00BA78B2">
        <w:t>A</w:t>
      </w:r>
      <w:r>
        <w:t xml:space="preserve"> complex </w:t>
      </w:r>
      <w:r w:rsidRPr="00BA78B2">
        <w:t>approach to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295C6D45" w:rsidR="002D391A" w:rsidRDefault="002D391A" w:rsidP="00BA78B2">
      <w:pPr>
        <w:jc w:val="center"/>
      </w:pPr>
      <w:r>
        <w:t xml:space="preserve">Figure </w:t>
      </w:r>
      <w:fldSimple w:instr=" SEQ Figure \* ARABIC ">
        <w:r w:rsidR="001B1A99">
          <w:rPr>
            <w:noProof/>
          </w:rPr>
          <w:t>5</w:t>
        </w:r>
      </w:fldSimple>
      <w:r>
        <w:t xml:space="preserve"> -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EF1FFA8" w:rsidR="002D391A" w:rsidRDefault="00643814" w:rsidP="00643814">
      <w:pPr>
        <w:ind w:firstLine="0"/>
        <w:jc w:val="left"/>
      </w:pPr>
      <w:r>
        <w:t xml:space="preserve">Figure </w:t>
      </w:r>
      <w:fldSimple w:instr=" SEQ Figure \* ARABIC ">
        <w:r w:rsidR="001B1A99">
          <w:rPr>
            <w:noProof/>
          </w:rPr>
          <w:t>6</w:t>
        </w:r>
      </w:fldSimple>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proofErr w:type="gramStart"/>
      <w:r>
        <w:t>is</w:t>
      </w:r>
      <w:proofErr w:type="gramEnd"/>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FCCEFE4" w:rsidR="00B57385" w:rsidRPr="00E54644" w:rsidRDefault="00B57385" w:rsidP="00B57385">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1B1A99">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t xml:space="preserve">The most interesting step in this method is recognizing named entities (NER) from the social networks’ posts. 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xml:space="preserve">,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 xml:space="preserve">The last step of the method is to geocode all extracted points and put them on the map. Geocoding is made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130338F3" w:rsidR="009B3E8D" w:rsidRDefault="009B3E8D" w:rsidP="00AB747A">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1B1A99">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then potential central places can be identified based on the combined characteristics of existing central places. If there is information about the actual locations of services, it needs to be processed to obtain the coordinates of the 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 xml:space="preserve">The analysis of the agglomeration's planning structure is based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5218E348" w:rsidR="00643814" w:rsidRDefault="00F77522" w:rsidP="00F77522">
      <w:pPr>
        <w:jc w:val="center"/>
      </w:pPr>
      <w:r>
        <w:t xml:space="preserve">Figure </w:t>
      </w:r>
      <w:fldSimple w:instr=" SEQ Figure \* ARABIC ">
        <w:r w:rsidR="001B1A99">
          <w:rPr>
            <w:noProof/>
          </w:rPr>
          <w:t>9</w:t>
        </w:r>
      </w:fldSimple>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w:t>
      </w:r>
      <w:proofErr w:type="gramStart"/>
      <w:r w:rsidRPr="00B23CA4">
        <w:t>on</w:t>
      </w:r>
      <w:proofErr w:type="gramEnd"/>
      <w:r w:rsidRPr="00B23CA4">
        <w:t xml:space="preserve">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593DC9FD" w:rsidR="00F77522" w:rsidRDefault="00F77522" w:rsidP="00F77522">
      <w:pPr>
        <w:ind w:firstLine="0"/>
      </w:pPr>
      <w:r>
        <w:t xml:space="preserve">Figure </w:t>
      </w:r>
      <w:fldSimple w:instr=" SEQ Figure \* ARABIC ">
        <w:r w:rsidR="001B1A99">
          <w:rPr>
            <w:noProof/>
          </w:rPr>
          <w:t>10</w:t>
        </w:r>
      </w:fldSimple>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3EB8E04E"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t xml:space="preserve">Demonstration of the method based on points of </w:t>
      </w:r>
      <w:r w:rsidR="00F77522" w:rsidRPr="00B23CA4">
        <w:t>interes</w:t>
      </w:r>
      <w:r w:rsidR="00F77522">
        <w:t>t.</w:t>
      </w:r>
    </w:p>
    <w:p w14:paraId="21C180BD" w14:textId="7618F6ED" w:rsidR="00F805D7" w:rsidRDefault="00B23CA4" w:rsidP="00F77522">
      <w:pPr>
        <w:pStyle w:val="p1a"/>
      </w:pPr>
      <w:r>
        <w:t>Final maps with the extracted</w:t>
      </w:r>
      <w:r w:rsidR="00E54644">
        <w:t xml:space="preserve"> points</w:t>
      </w:r>
      <w:r w:rsidR="00F805D7">
        <w:t xml:space="preserve"> of interest</w:t>
      </w:r>
      <w:r w:rsidR="00E54644">
        <w:t xml:space="preserve"> can be seen </w:t>
      </w:r>
      <w:r w:rsidR="00F77522">
        <w:t>in</w:t>
      </w:r>
      <w:r w:rsidR="00E54644">
        <w:t xml:space="preserve"> </w:t>
      </w:r>
      <w:r w:rsidR="00F77522">
        <w:t>Fig</w:t>
      </w:r>
      <w:r w:rsidR="00C91999">
        <w:t xml:space="preserve"> </w:t>
      </w:r>
      <w:r w:rsidR="00F77522">
        <w:t>11</w:t>
      </w:r>
      <w:r>
        <w:t>.</w:t>
      </w:r>
    </w:p>
    <w:p w14:paraId="6E627B39" w14:textId="77777777" w:rsidR="00F805D7" w:rsidRPr="00F805D7" w:rsidRDefault="00F805D7" w:rsidP="00F805D7"/>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09D26B7C" w:rsidR="00F77522" w:rsidRDefault="00F77522" w:rsidP="00F805D7">
      <w:pPr>
        <w:jc w:val="center"/>
      </w:pPr>
      <w:r>
        <w:t xml:space="preserve">Figure </w:t>
      </w:r>
      <w:fldSimple w:instr=" SEQ Figure \* ARABIC ">
        <w:r w:rsidR="001B1A99">
          <w:rPr>
            <w:noProof/>
          </w:rPr>
          <w:t>11</w:t>
        </w:r>
      </w:fldSimple>
      <w:r>
        <w:t xml:space="preserve"> - Results of POI's extraction</w:t>
      </w:r>
      <w:r w:rsidR="00AB747A">
        <w:br/>
      </w:r>
    </w:p>
    <w:p w14:paraId="0BBA9D2C" w14:textId="65744677" w:rsidR="00F805D7" w:rsidRDefault="00F805D7" w:rsidP="00F805D7">
      <w:pPr>
        <w:pStyle w:val="p1a"/>
      </w:pPr>
      <w:r>
        <w:t xml:space="preserve">All the data was ingested on a local machine and saved in parquet format and then analyzed. There were 998 groups about </w:t>
      </w:r>
      <w:proofErr w:type="spellStart"/>
      <w:r>
        <w:t>Miass</w:t>
      </w:r>
      <w:proofErr w:type="spellEnd"/>
      <w:r>
        <w:t xml:space="preserve"> city in VK</w:t>
      </w:r>
      <w:r w:rsidR="00640743">
        <w:t xml:space="preserve"> (</w:t>
      </w:r>
      <w:r w:rsidR="00640743" w:rsidRPr="00640743">
        <w:t>Russian online social media</w:t>
      </w:r>
      <w:r w:rsidR="00640743">
        <w:t xml:space="preserve"> network)</w:t>
      </w:r>
      <w:r>
        <w:t xml:space="preserve">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Subsequently, the K-means method is applied to cluster the existing services. After identifying the clusters, the degree of popularity of the central places is determined according to the heatmap.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To identify potential central places, it is necessary to collect reviews mentioning specific points on the map and geocode them. Then, they are also displayed as a heatmap,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0688DB66" w:rsidR="007070D5" w:rsidRDefault="00F77522" w:rsidP="00DE3C0B">
      <w:pPr>
        <w:ind w:firstLine="0"/>
      </w:pPr>
      <w:r>
        <w:t xml:space="preserve">Figure </w:t>
      </w:r>
      <w:fldSimple w:instr=" SEQ Figure \* ARABIC ">
        <w:r w:rsidR="001B1A99">
          <w:rPr>
            <w:noProof/>
          </w:rPr>
          <w:t>12</w:t>
        </w:r>
      </w:fldSimple>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t xml:space="preserve">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3A83A913" w:rsidR="003175EF" w:rsidRDefault="004004C4" w:rsidP="004004C4">
      <w:pPr>
        <w:ind w:firstLine="0"/>
      </w:pPr>
      <w:r>
        <w:t xml:space="preserve">Figure </w:t>
      </w:r>
      <w:fldSimple w:instr=" SEQ Figure \* ARABIC ">
        <w:r w:rsidR="001B1A99">
          <w:rPr>
            <w:noProof/>
          </w:rPr>
          <w:t>13</w:t>
        </w:r>
      </w:fldSimple>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07F8ADF3" w:rsidR="003175EF" w:rsidRDefault="003175EF" w:rsidP="001B1A99">
      <w:r>
        <w:t xml:space="preserve">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6C81B6E9" w14:textId="2610AC4B" w:rsidR="008D1D13" w:rsidRDefault="008D1D13" w:rsidP="008D1D13">
      <w:pPr>
        <w:pStyle w:val="p1a"/>
      </w:pPr>
      <w:r>
        <w:t>In this article four new urban centers allocation methods were defined and explained. All of them can be used as separate tools for city analysis, but the best result can be achieved i</w:t>
      </w:r>
      <w:r w:rsidR="00B57385">
        <w:t>f all the methods work together</w:t>
      </w:r>
      <w:r w:rsidR="00B57385" w:rsidRPr="00B57385">
        <w:t>, so that every</w:t>
      </w:r>
      <w:r>
        <w:t xml:space="preserve"> city in the world can be deeply analyzed and studied from different perspectives and sides. They form a new powerful tool in geo analysis and urban centers definition and extraction.  </w:t>
      </w:r>
      <w:r w:rsidR="004004C4">
        <w:t>Fig.</w:t>
      </w:r>
      <w:r w:rsidR="00222E86">
        <w:t xml:space="preserve"> </w:t>
      </w:r>
      <w:r w:rsidR="004004C4">
        <w:t>14</w:t>
      </w:r>
      <w:r w:rsidR="00FB0ECF">
        <w:t xml:space="preserve">e </w:t>
      </w:r>
      <w:r w:rsidR="00222E86">
        <w:t>clearly shows the work of all four methods.</w:t>
      </w:r>
    </w:p>
    <w:p w14:paraId="3553FD8B" w14:textId="77258DB5" w:rsidR="00893B8B" w:rsidRDefault="00893B8B" w:rsidP="00DA4E6F">
      <w:pPr>
        <w:ind w:firstLine="284"/>
      </w:pPr>
      <w:r w:rsidRPr="00893B8B">
        <w:t>The method in Fig 14a shows the central places of settlement based on the connectivity of territories and the number of people in this area. It suggests in which places it is most profitable to develop POI. The method in Fig. 14b shows clusters of points o</w:t>
      </w:r>
      <w:r>
        <w:t>f attraction and characteriz</w:t>
      </w:r>
      <w:r w:rsidRPr="00893B8B">
        <w:t>es their degree of attractiveness. The method in Fig. 14c determines the area of accumulation of such points, as well as places with a potential increase in several POIs. Finally, the method in Fig. 14d shows a complete picture of the development of the city: the joint growth of places of settlement of people and the placement of points of attraction give an understanding of the potential directions for th</w:t>
      </w:r>
      <w:r>
        <w:t>e development of the city's bor</w:t>
      </w:r>
      <w:r w:rsidRPr="00893B8B">
        <w:t>ders.</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23728756">
            <wp:extent cx="4343400" cy="3063240"/>
            <wp:effectExtent l="0" t="0" r="0" b="381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343400" cy="3063240"/>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3880B367" w:rsidR="005A6ACB" w:rsidRDefault="004004C4" w:rsidP="004004C4">
      <w:pPr>
        <w:jc w:val="center"/>
      </w:pPr>
      <w:r>
        <w:t xml:space="preserve">Figure </w:t>
      </w:r>
      <w:fldSimple w:instr=" SEQ Figure \* ARABIC ">
        <w:r w:rsidR="001B1A99">
          <w:rPr>
            <w:noProof/>
          </w:rPr>
          <w:t>14</w:t>
        </w:r>
      </w:fldSimple>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545D0FBC" w:rsidR="00DE3C0B" w:rsidRPr="001B1A99" w:rsidRDefault="001B1A99" w:rsidP="001B1A99">
      <w:pPr>
        <w:pStyle w:val="p1a"/>
      </w:pPr>
      <w:r w:rsidRPr="001B1A99">
        <w:t>T</w:t>
      </w:r>
      <w:r w:rsidR="00B23CA4" w:rsidRPr="001B1A99">
        <w:t xml:space="preserve">his article </w:t>
      </w:r>
      <w:r>
        <w:t>proposed a new approach of identifying existing urban centers and subcenters based on open data. It can be used</w:t>
      </w:r>
      <w:r w:rsidR="00B23CA4" w:rsidRPr="001B1A99">
        <w:t xml:space="preserve"> for addressing specific challenges</w:t>
      </w:r>
      <w:r>
        <w:t xml:space="preserve"> and</w:t>
      </w:r>
      <w:r w:rsidR="00B23CA4" w:rsidRPr="001B1A99">
        <w:t xml:space="preserve"> conducting comprehensive analyses of cities.</w:t>
      </w:r>
      <w:r w:rsidR="00CB29CA">
        <w:t xml:space="preserve"> </w:t>
      </w:r>
      <w:r>
        <w:t xml:space="preserve">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together with other methods and technologies. The proposed method is very flexible due to the use of 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51136E19" w14:textId="77777777" w:rsidR="00606587" w:rsidRDefault="009B2539" w:rsidP="00606587">
      <w:pPr>
        <w:pStyle w:val="heading1"/>
        <w:numPr>
          <w:ilvl w:val="0"/>
          <w:numId w:val="0"/>
        </w:numPr>
        <w:ind w:left="567" w:hanging="567"/>
      </w:pPr>
      <w:r>
        <w:t>References</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ListParagraph"/>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ListParagraph"/>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ListParagraph"/>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ListParagraph"/>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ListParagraph"/>
        <w:numPr>
          <w:ilvl w:val="0"/>
          <w:numId w:val="17"/>
        </w:numPr>
      </w:pPr>
      <w:r w:rsidRPr="00423445">
        <w:t>Ghadiri, Mehdi</w:t>
      </w:r>
      <w:r w:rsidR="008B187E" w:rsidRPr="008B187E">
        <w:t xml:space="preserve">, </w:t>
      </w:r>
      <w:proofErr w:type="spellStart"/>
      <w:r w:rsidR="008B187E">
        <w:t>Rassafi</w:t>
      </w:r>
      <w:proofErr w:type="spellEnd"/>
      <w:r w:rsidR="008B187E">
        <w:t>,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ListParagraph"/>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w:t>
      </w:r>
      <w:proofErr w:type="gramEnd"/>
      <w:r w:rsidRPr="00423445">
        <w:t xml:space="preserve">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ListParagraph"/>
        <w:numPr>
          <w:ilvl w:val="0"/>
          <w:numId w:val="17"/>
        </w:numPr>
      </w:pPr>
      <w:r w:rsidRPr="00423445">
        <w:t>Hudec, Mir</w:t>
      </w:r>
      <w:r w:rsidR="00E53928">
        <w:t>oslav &amp; Vujosevic, Mirko</w:t>
      </w:r>
      <w:r w:rsidRPr="00423445">
        <w:t>. Integration of a Fuzzy Sys-</w:t>
      </w:r>
      <w:proofErr w:type="spellStart"/>
      <w:r w:rsidRPr="00423445">
        <w:t>tem</w:t>
      </w:r>
      <w:proofErr w:type="spellEnd"/>
      <w:r w:rsidRPr="00423445">
        <w:t xml:space="preserve">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ListParagraph"/>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ListParagraph"/>
        <w:numPr>
          <w:ilvl w:val="0"/>
          <w:numId w:val="17"/>
        </w:numPr>
      </w:pPr>
      <w:r>
        <w:t>Pereira R</w:t>
      </w:r>
      <w:r w:rsidRPr="000673BA">
        <w:t>.,</w:t>
      </w:r>
      <w:r>
        <w:t xml:space="preserve"> Nadalin V.</w:t>
      </w:r>
      <w:r w:rsidRPr="000673BA">
        <w:t>,</w:t>
      </w:r>
      <w:r>
        <w:t xml:space="preserve"> </w:t>
      </w:r>
      <w:proofErr w:type="gramStart"/>
      <w:r>
        <w:t>Monasterio</w:t>
      </w:r>
      <w:r w:rsidRPr="000673BA">
        <w:t xml:space="preserve"> </w:t>
      </w:r>
      <w:r>
        <w:t xml:space="preserve"> </w:t>
      </w:r>
      <w:proofErr w:type="spellStart"/>
      <w:r>
        <w:t>L.</w:t>
      </w:r>
      <w:proofErr w:type="gramEnd"/>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ListParagraph"/>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ListParagraph"/>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ListParagraph"/>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ListParagraph"/>
        <w:numPr>
          <w:ilvl w:val="0"/>
          <w:numId w:val="17"/>
        </w:numPr>
      </w:pPr>
      <w:r w:rsidRPr="00124FFA">
        <w:t xml:space="preserve">M. E. J. Newman: Mathematics of networks. The New Palgrave Encyclopedia of Economics. 2nd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ListParagraph"/>
        <w:numPr>
          <w:ilvl w:val="0"/>
          <w:numId w:val="17"/>
        </w:numPr>
      </w:pPr>
      <w:r w:rsidRPr="00124FFA">
        <w:t xml:space="preserve">Chen Zhong, Markus </w:t>
      </w:r>
      <w:proofErr w:type="spellStart"/>
      <w:r w:rsidRPr="00124FFA">
        <w:t>Schläpfer</w:t>
      </w:r>
      <w:proofErr w:type="spellEnd"/>
      <w:r w:rsidRPr="00124FFA">
        <w:t xml:space="preserve">, Stefan Müller </w:t>
      </w:r>
      <w:proofErr w:type="spellStart"/>
      <w:r w:rsidRPr="00124FFA">
        <w:t>Arisona</w:t>
      </w:r>
      <w:proofErr w:type="spellEnd"/>
      <w:r w:rsidRPr="00124FFA">
        <w:t>, Michael Batty, Carlo Ratti, and Gerhard Schmitt: Revealing the Changing Spatial Structure of Cities from Human Activity Patterns. Urban Studies vol. 54, issue 2, pp. 437-455 (2016).</w:t>
      </w:r>
    </w:p>
    <w:p w14:paraId="60558B6E" w14:textId="51233829" w:rsidR="00DE3C0B" w:rsidRDefault="00124FFA" w:rsidP="00DE3C0B">
      <w:pPr>
        <w:pStyle w:val="ListParagraph"/>
        <w:numPr>
          <w:ilvl w:val="0"/>
          <w:numId w:val="17"/>
        </w:numPr>
      </w:pPr>
      <w:r w:rsidRPr="00124FFA">
        <w:t xml:space="preserve">Taras </w:t>
      </w:r>
      <w:proofErr w:type="spellStart"/>
      <w:r w:rsidRPr="00124FFA">
        <w:t>Agryzkov</w:t>
      </w:r>
      <w:proofErr w:type="spellEnd"/>
      <w:r w:rsidRPr="00124FFA">
        <w:t>,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ListParagraph"/>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ListParagraph"/>
        <w:numPr>
          <w:ilvl w:val="0"/>
          <w:numId w:val="17"/>
        </w:numPr>
        <w:rPr>
          <w:rStyle w:val="Hyperlink"/>
        </w:rPr>
      </w:pPr>
      <w:r w:rsidRPr="00334382">
        <w:rPr>
          <w:rStyle w:val="Hyperlink"/>
        </w:rPr>
        <w:t>Gareth Simons</w:t>
      </w:r>
      <w:r>
        <w:rPr>
          <w:rStyle w:val="Hyperlink"/>
        </w:rPr>
        <w:t xml:space="preserve">: </w:t>
      </w:r>
      <w:r w:rsidRPr="00334382">
        <w:rPr>
          <w:rStyle w:val="Hyperlink"/>
        </w:rPr>
        <w:t xml:space="preserve">The </w:t>
      </w:r>
      <w:proofErr w:type="spellStart"/>
      <w:r w:rsidRPr="00334382">
        <w:rPr>
          <w:rStyle w:val="Hyperlink"/>
        </w:rPr>
        <w:t>cityseer</w:t>
      </w:r>
      <w:proofErr w:type="spellEnd"/>
      <w:r w:rsidRPr="00334382">
        <w:rPr>
          <w:rStyle w:val="Hyperlink"/>
        </w:rPr>
        <w:t xml:space="preserve"> Python package for pedestrian-scale network-based urban analysis</w:t>
      </w:r>
      <w:r>
        <w:rPr>
          <w:rStyle w:val="Hyperlink"/>
        </w:rPr>
        <w:t xml:space="preserve">. </w:t>
      </w:r>
      <w:r w:rsidRPr="00334382">
        <w:rPr>
          <w:rStyle w:val="Hyperlink"/>
        </w:rPr>
        <w:t>Environment and Planning B: Urban Analytics and City Science</w:t>
      </w:r>
      <w:r>
        <w:rPr>
          <w:rStyle w:val="Hyperlink"/>
        </w:rPr>
        <w:t xml:space="preserve"> </w:t>
      </w:r>
      <w:r w:rsidRPr="00334382">
        <w:rPr>
          <w:rStyle w:val="Hyperlink"/>
        </w:rPr>
        <w:t>0(0)</w:t>
      </w:r>
      <w:r>
        <w:rPr>
          <w:rStyle w:val="Hyperlink"/>
        </w:rPr>
        <w:t xml:space="preserve"> (2022).</w:t>
      </w:r>
    </w:p>
    <w:p w14:paraId="0DD5D846" w14:textId="6D848A0F" w:rsidR="00A55965" w:rsidRDefault="00A55965" w:rsidP="00A55965">
      <w:pPr>
        <w:pStyle w:val="ListParagraph"/>
        <w:numPr>
          <w:ilvl w:val="0"/>
          <w:numId w:val="17"/>
        </w:numPr>
      </w:pPr>
      <w:r w:rsidRPr="00A55965">
        <w:t xml:space="preserve"> Deza, M. M., Deza, E. Encyclopedia of Distances.</w:t>
      </w:r>
      <w:r w:rsidR="00AB747A">
        <w:t xml:space="preserve"> 4th</w:t>
      </w:r>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D65687" w14:textId="77777777" w:rsidR="00E1309F" w:rsidRDefault="00E1309F">
      <w:r>
        <w:separator/>
      </w:r>
    </w:p>
  </w:endnote>
  <w:endnote w:type="continuationSeparator" w:id="0">
    <w:p w14:paraId="654EF82A" w14:textId="77777777" w:rsidR="00E1309F" w:rsidRDefault="00E130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6C5EC7" w14:textId="77777777" w:rsidR="00E1309F" w:rsidRDefault="00E1309F" w:rsidP="009F7FCE">
      <w:pPr>
        <w:ind w:firstLine="0"/>
      </w:pPr>
      <w:r>
        <w:separator/>
      </w:r>
    </w:p>
  </w:footnote>
  <w:footnote w:type="continuationSeparator" w:id="0">
    <w:p w14:paraId="4F980EFC" w14:textId="77777777" w:rsidR="00E1309F" w:rsidRDefault="00E1309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87276" w14:textId="1B1D6CFD" w:rsidR="009B2539" w:rsidRDefault="009B2539" w:rsidP="00F321B4">
    <w:pPr>
      <w:pStyle w:val="Header"/>
    </w:pPr>
    <w:r>
      <w:fldChar w:fldCharType="begin"/>
    </w:r>
    <w:r>
      <w:instrText>PAGE   \* MERGEFORMAT</w:instrText>
    </w:r>
    <w:r>
      <w:fldChar w:fldCharType="separate"/>
    </w:r>
    <w:r w:rsidR="00A55965">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A88BB" w14:textId="17129799" w:rsidR="002D48C5" w:rsidRDefault="002D48C5" w:rsidP="002D48C5">
    <w:pPr>
      <w:pStyle w:val="Header"/>
      <w:jc w:val="right"/>
    </w:pPr>
    <w:r>
      <w:fldChar w:fldCharType="begin"/>
    </w:r>
    <w:r>
      <w:instrText>PAGE   \* MERGEFORMAT</w:instrText>
    </w:r>
    <w:r>
      <w:fldChar w:fldCharType="separate"/>
    </w:r>
    <w:r w:rsidR="00A55965">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81286698">
    <w:abstractNumId w:val="2"/>
  </w:num>
  <w:num w:numId="2" w16cid:durableId="633369659">
    <w:abstractNumId w:val="2"/>
  </w:num>
  <w:num w:numId="3" w16cid:durableId="312565497">
    <w:abstractNumId w:val="6"/>
  </w:num>
  <w:num w:numId="4" w16cid:durableId="1113213539">
    <w:abstractNumId w:val="6"/>
  </w:num>
  <w:num w:numId="5" w16cid:durableId="1804928714">
    <w:abstractNumId w:val="9"/>
  </w:num>
  <w:num w:numId="6" w16cid:durableId="1081173358">
    <w:abstractNumId w:val="9"/>
  </w:num>
  <w:num w:numId="7" w16cid:durableId="1939563418">
    <w:abstractNumId w:val="8"/>
  </w:num>
  <w:num w:numId="8" w16cid:durableId="1117532089">
    <w:abstractNumId w:val="10"/>
  </w:num>
  <w:num w:numId="9" w16cid:durableId="124079899">
    <w:abstractNumId w:val="10"/>
  </w:num>
  <w:num w:numId="10" w16cid:durableId="411977259">
    <w:abstractNumId w:val="0"/>
  </w:num>
  <w:num w:numId="11" w16cid:durableId="1251162307">
    <w:abstractNumId w:val="8"/>
  </w:num>
  <w:num w:numId="12" w16cid:durableId="178812723">
    <w:abstractNumId w:val="4"/>
  </w:num>
  <w:num w:numId="13" w16cid:durableId="981812855">
    <w:abstractNumId w:val="3"/>
  </w:num>
  <w:num w:numId="14" w16cid:durableId="159976869">
    <w:abstractNumId w:val="7"/>
  </w:num>
  <w:num w:numId="15" w16cid:durableId="1738238019">
    <w:abstractNumId w:val="1"/>
  </w:num>
  <w:num w:numId="16" w16cid:durableId="783306275">
    <w:abstractNumId w:val="8"/>
    <w:lvlOverride w:ilvl="0">
      <w:startOverride w:val="2"/>
    </w:lvlOverride>
    <w:lvlOverride w:ilvl="1">
      <w:startOverride w:val="4"/>
    </w:lvlOverride>
  </w:num>
  <w:num w:numId="17" w16cid:durableId="2090797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4F78DE"/>
    <w:rsid w:val="00507BFE"/>
    <w:rsid w:val="00507D04"/>
    <w:rsid w:val="00520041"/>
    <w:rsid w:val="00524A82"/>
    <w:rsid w:val="005307E8"/>
    <w:rsid w:val="00543ADC"/>
    <w:rsid w:val="0054697F"/>
    <w:rsid w:val="005478B6"/>
    <w:rsid w:val="0057403E"/>
    <w:rsid w:val="0057631B"/>
    <w:rsid w:val="0058036A"/>
    <w:rsid w:val="005965B1"/>
    <w:rsid w:val="005A3C1B"/>
    <w:rsid w:val="005A4F45"/>
    <w:rsid w:val="005A6ACB"/>
    <w:rsid w:val="005B670F"/>
    <w:rsid w:val="006154E5"/>
    <w:rsid w:val="00640743"/>
    <w:rsid w:val="00643814"/>
    <w:rsid w:val="006671BD"/>
    <w:rsid w:val="00674153"/>
    <w:rsid w:val="006A3271"/>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844DE"/>
    <w:rsid w:val="009930E4"/>
    <w:rsid w:val="009B1198"/>
    <w:rsid w:val="009B2539"/>
    <w:rsid w:val="009B3E8D"/>
    <w:rsid w:val="009E037B"/>
    <w:rsid w:val="009E58FA"/>
    <w:rsid w:val="009F25F3"/>
    <w:rsid w:val="009F7FCE"/>
    <w:rsid w:val="00A073BA"/>
    <w:rsid w:val="00A21A38"/>
    <w:rsid w:val="00A31245"/>
    <w:rsid w:val="00A36925"/>
    <w:rsid w:val="00A40FE1"/>
    <w:rsid w:val="00A424E9"/>
    <w:rsid w:val="00A55965"/>
    <w:rsid w:val="00A62A3A"/>
    <w:rsid w:val="00A66CB1"/>
    <w:rsid w:val="00A817EB"/>
    <w:rsid w:val="00AA207D"/>
    <w:rsid w:val="00AA28A5"/>
    <w:rsid w:val="00AA5DB1"/>
    <w:rsid w:val="00AB747A"/>
    <w:rsid w:val="00AE651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C5431"/>
    <w:rsid w:val="00F321B4"/>
    <w:rsid w:val="00F35BF5"/>
    <w:rsid w:val="00F35DC3"/>
    <w:rsid w:val="00F40F3D"/>
    <w:rsid w:val="00F66C8B"/>
    <w:rsid w:val="00F77522"/>
    <w:rsid w:val="00F805D7"/>
    <w:rsid w:val="00F95E7A"/>
    <w:rsid w:val="00FA1C2F"/>
    <w:rsid w:val="00FA28EE"/>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073B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5B670F"/>
    <w:pPr>
      <w:ind w:left="720"/>
      <w:contextualSpacing/>
    </w:pPr>
  </w:style>
  <w:style w:type="paragraph" w:styleId="Caption">
    <w:name w:val="caption"/>
    <w:basedOn w:val="Normal"/>
    <w:next w:val="Normal"/>
    <w:unhideWhenUsed/>
    <w:rsid w:val="009B3E8D"/>
    <w:pPr>
      <w:spacing w:after="200" w:line="240" w:lineRule="auto"/>
    </w:pPr>
    <w:rPr>
      <w:i/>
      <w:iCs/>
      <w:color w:val="1F497D" w:themeColor="text2"/>
      <w:sz w:val="18"/>
      <w:szCs w:val="18"/>
    </w:rPr>
  </w:style>
  <w:style w:type="character" w:styleId="FollowedHyperlink">
    <w:name w:val="FollowedHyperlink"/>
    <w:basedOn w:val="DefaultParagraphFont"/>
    <w:semiHidden/>
    <w:unhideWhenUsed/>
    <w:rsid w:val="00334382"/>
    <w:rPr>
      <w:color w:val="800080" w:themeColor="followedHyperlink"/>
      <w:u w:val="single"/>
    </w:rPr>
  </w:style>
  <w:style w:type="character" w:customStyle="1" w:styleId="1">
    <w:name w:val="Неразрешенное упоминание1"/>
    <w:basedOn w:val="DefaultParagraphFont"/>
    <w:uiPriority w:val="99"/>
    <w:semiHidden/>
    <w:unhideWhenUsed/>
    <w:rsid w:val="002531BD"/>
    <w:rPr>
      <w:color w:val="605E5C"/>
      <w:shd w:val="clear" w:color="auto" w:fill="E1DFDD"/>
    </w:rPr>
  </w:style>
  <w:style w:type="table" w:styleId="TableGrid">
    <w:name w:val="Table Grid"/>
    <w:basedOn w:val="TableNormal"/>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DefaultParagraphFont"/>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4D44DCC8-4A9A-4FD5-8D88-46F942E6CA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105</TotalTime>
  <Pages>16</Pages>
  <Words>4828</Words>
  <Characters>27523</Characters>
  <Application>Microsoft Office Word</Application>
  <DocSecurity>0</DocSecurity>
  <Lines>229</Lines>
  <Paragraphs>64</Paragraphs>
  <ScaleCrop>false</ScaleCrop>
  <HeadingPairs>
    <vt:vector size="10" baseType="variant">
      <vt:variant>
        <vt:lpstr>Title</vt:lpstr>
      </vt:variant>
      <vt:variant>
        <vt:i4>1</vt:i4>
      </vt:variant>
      <vt:variant>
        <vt:lpstr>Headings</vt:lpstr>
      </vt:variant>
      <vt:variant>
        <vt:i4>20</vt:i4>
      </vt:variant>
      <vt:variant>
        <vt:lpstr>Название</vt:lpstr>
      </vt:variant>
      <vt:variant>
        <vt:i4>1</vt:i4>
      </vt:variant>
      <vt:variant>
        <vt:lpstr>Título</vt:lpstr>
      </vt:variant>
      <vt:variant>
        <vt:i4>1</vt:i4>
      </vt:variant>
      <vt:variant>
        <vt:lpstr>Titel</vt:lpstr>
      </vt:variant>
      <vt:variant>
        <vt:i4>1</vt:i4>
      </vt:variant>
    </vt:vector>
  </HeadingPairs>
  <TitlesOfParts>
    <vt:vector size="24" baseType="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Information technologies in the centrality of urban spaces assessment</vt:lpstr>
      <vt:lpstr>A complex approach to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lpstr/>
    </vt:vector>
  </TitlesOfParts>
  <Company>dataspect IT-Services, Neckargemuend, Germany</Company>
  <LinksUpToDate>false</LinksUpToDate>
  <CharactersWithSpaces>32287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Катынсус Александр Валерьевич</cp:lastModifiedBy>
  <cp:revision>9</cp:revision>
  <cp:lastPrinted>2023-06-19T16:22:00Z</cp:lastPrinted>
  <dcterms:created xsi:type="dcterms:W3CDTF">2023-06-18T18:09:00Z</dcterms:created>
  <dcterms:modified xsi:type="dcterms:W3CDTF">2023-08-02T08:02:00Z</dcterms:modified>
</cp:coreProperties>
</file>