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D058" w14:textId="74F33031" w:rsidR="005D342C" w:rsidRDefault="00C12234" w:rsidP="00C12234">
      <w:pPr>
        <w:jc w:val="center"/>
        <w:rPr>
          <w:b/>
          <w:bCs/>
          <w:sz w:val="40"/>
          <w:szCs w:val="40"/>
        </w:rPr>
      </w:pPr>
      <w:r w:rsidRPr="00C12234">
        <w:rPr>
          <w:b/>
          <w:bCs/>
          <w:sz w:val="40"/>
          <w:szCs w:val="40"/>
        </w:rPr>
        <w:t>CELLULAR REPAIR PROTOCOL</w:t>
      </w:r>
    </w:p>
    <w:p w14:paraId="5992A03E" w14:textId="77777777" w:rsidR="00C12234" w:rsidRDefault="00C12234" w:rsidP="00C12234">
      <w:pPr>
        <w:jc w:val="center"/>
        <w:rPr>
          <w:b/>
          <w:bCs/>
          <w:sz w:val="40"/>
          <w:szCs w:val="40"/>
        </w:rPr>
      </w:pPr>
    </w:p>
    <w:p w14:paraId="1BA36197" w14:textId="77777777" w:rsidR="00C12234" w:rsidRPr="00C12234" w:rsidRDefault="00C12234" w:rsidP="00C1223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12234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Protocol Overview for Cellular Repair</w:t>
      </w:r>
    </w:p>
    <w:p w14:paraId="65E394B3" w14:textId="77777777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This 12-week stacked protocol targets </w:t>
      </w:r>
      <w:r w:rsidRPr="00C1223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mitochondrial repair</w:t>
      </w: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(SS-31, NAD+), </w:t>
      </w:r>
      <w:r w:rsidRPr="00C1223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DNA/telomere protection</w:t>
      </w: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Epithalon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C1223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neuroprotection</w:t>
      </w: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Pinealon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), and </w:t>
      </w:r>
      <w:r w:rsidRPr="00C1223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longevity signaling</w:t>
      </w: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(FOXO4-DRI). Administer subcutaneously (</w:t>
      </w: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subQ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) daily except where noted. Cycle: 8 weeks on, 4 weeks off. Monitor via bloodwork (liver/kidney function, inflammation markers). Hydrate well; combine with exercise/fasting for synergy.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2140"/>
        <w:gridCol w:w="2015"/>
        <w:gridCol w:w="1292"/>
        <w:gridCol w:w="2732"/>
      </w:tblGrid>
      <w:tr w:rsidR="00C12234" w:rsidRPr="00C12234" w14:paraId="64F0107F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6CC95BB" w14:textId="77777777" w:rsidR="00C12234" w:rsidRPr="00C12234" w:rsidRDefault="00C12234" w:rsidP="00C122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Peptide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9906B1" w14:textId="77777777" w:rsidR="00C12234" w:rsidRPr="00C12234" w:rsidRDefault="00C12234" w:rsidP="00C122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Dosage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A29362" w14:textId="77777777" w:rsidR="00C12234" w:rsidRPr="00C12234" w:rsidRDefault="00C12234" w:rsidP="00C122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FD03B2" w14:textId="77777777" w:rsidR="00C12234" w:rsidRPr="00C12234" w:rsidRDefault="00C12234" w:rsidP="00C122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Cycle Length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83AF7C" w14:textId="77777777" w:rsidR="00C12234" w:rsidRPr="00C12234" w:rsidRDefault="00C12234" w:rsidP="00C122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Administration Notes</w:t>
            </w:r>
          </w:p>
        </w:tc>
      </w:tr>
      <w:tr w:rsidR="00C12234" w:rsidRPr="00C12234" w14:paraId="2889058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8B5B9EA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SS-31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AA47C9" w14:textId="4BBA57CE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 mg</w:t>
            </w: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-5mg</w:t>
            </w: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(start low; equiv. to 3-5 mg/kg mouse dosing scaled) </w:t>
            </w:r>
            <w:hyperlink r:id="rId5" w:tgtFrame="_blank" w:history="1">
              <w:r w:rsidRPr="00C12234">
                <w:rPr>
                  <w:rFonts w:ascii="Arial" w:eastAsia="Times New Roman" w:hAnsi="Arial" w:cs="Arial"/>
                  <w:color w:val="0000FF"/>
                  <w:kern w:val="0"/>
                  <w:vertAlign w:val="superscript"/>
                  <w14:ligatures w14:val="none"/>
                </w:rPr>
                <w:t>[5]</w:t>
              </w:r>
            </w:hyperlink>
            <w:hyperlink r:id="rId6" w:tgtFrame="_blank" w:history="1">
              <w:r w:rsidRPr="00C12234">
                <w:rPr>
                  <w:rFonts w:ascii="Arial" w:eastAsia="Times New Roman" w:hAnsi="Arial" w:cs="Arial"/>
                  <w:color w:val="0000FF"/>
                  <w:kern w:val="0"/>
                  <w:vertAlign w:val="superscript"/>
                  <w14:ligatures w14:val="none"/>
                </w:rPr>
                <w:t>[6]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90B494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Daily </w:t>
            </w:r>
            <w:proofErr w:type="spellStart"/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subQ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6C3AFB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 weeks on/4 off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1F5EEA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Reconstitute 10mg vial with 2ml BAC water; inject 0.1-0.4ml.</w:t>
            </w:r>
          </w:p>
        </w:tc>
      </w:tr>
      <w:tr w:rsidR="00C12234" w:rsidRPr="00C12234" w14:paraId="1265A61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BA61A09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Pinealon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4186C4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100-200 mcg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DBC938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Daily </w:t>
            </w:r>
            <w:proofErr w:type="spellStart"/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subQ</w:t>
            </w:r>
            <w:proofErr w:type="spellEnd"/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(PM)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C35624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10-20 days on/1-2 months off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CC7306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Short cycles; brain repair focus. 20mg vial in 2ml water.</w:t>
            </w:r>
          </w:p>
        </w:tc>
      </w:tr>
      <w:tr w:rsidR="00C12234" w:rsidRPr="00C12234" w14:paraId="1DADC7D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A286D1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Epithalon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1AE96C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5-10 mg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79CAD8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Daily </w:t>
            </w:r>
            <w:proofErr w:type="spellStart"/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subQ</w:t>
            </w:r>
            <w:proofErr w:type="spellEnd"/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for 10-20 days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67AEEA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10-20 days on/4-6 months off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AE16CE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Telomere extension; repeat 2-3x/year. 10mg vial in 1ml water.</w:t>
            </w:r>
          </w:p>
        </w:tc>
      </w:tr>
      <w:tr w:rsidR="00C12234" w:rsidRPr="00C12234" w14:paraId="13A7528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ED81EE8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NAD+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266CAB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100-300 mg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458DA8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Load:100mg/day</w:t>
            </w:r>
          </w:p>
          <w:p w14:paraId="4A93A949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For 5-7 days, then</w:t>
            </w:r>
          </w:p>
          <w:p w14:paraId="4123B36A" w14:textId="66F7795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50-100mg 3x/week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A6B470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4-8 weeks on/4 off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64F8BD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Energy boost; nasal/sublingual alt. Liposomal for </w:t>
            </w:r>
            <w:proofErr w:type="spellStart"/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subQ</w:t>
            </w:r>
            <w:proofErr w:type="spellEnd"/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</w:t>
            </w:r>
          </w:p>
        </w:tc>
      </w:tr>
      <w:tr w:rsidR="00C12234" w:rsidRPr="00C12234" w14:paraId="7D7915A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5153BFE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FOXO4-DRI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AB2EED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5-10 mg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342804" w14:textId="793F8262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3X/WEEK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5215D5" w14:textId="77777777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1-2 weeks</w:t>
            </w:r>
          </w:p>
          <w:p w14:paraId="1FF00D34" w14:textId="3385289E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3x/year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373F02" w14:textId="7612C260" w:rsidR="00C12234" w:rsidRPr="00C12234" w:rsidRDefault="00C12234" w:rsidP="00C122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Senolytic</w:t>
            </w:r>
            <w:proofErr w:type="spellEnd"/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; use </w:t>
            </w: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3 </w:t>
            </w:r>
            <w:r w:rsidRPr="00C1223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days/week to avoid tolerance. 10mg vial.</w:t>
            </w:r>
          </w:p>
        </w:tc>
      </w:tr>
    </w:tbl>
    <w:p w14:paraId="1FBD74DF" w14:textId="77777777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C9B45D9" w14:textId="77777777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93F9C87" w14:textId="423955BF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Stack Schedule Example (Weeks 1-8):</w:t>
      </w:r>
    </w:p>
    <w:p w14:paraId="0864B532" w14:textId="77777777" w:rsidR="00C12234" w:rsidRPr="00C12234" w:rsidRDefault="00C12234" w:rsidP="00C12234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AM: SS-31 + NAD+</w:t>
      </w:r>
    </w:p>
    <w:p w14:paraId="1A8803F3" w14:textId="77777777" w:rsidR="00C12234" w:rsidRPr="00C12234" w:rsidRDefault="00C12234" w:rsidP="00C12234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PM: </w:t>
      </w: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Pinealon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(first 20 days) + </w:t>
      </w: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Epithalon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(first 20 days) + FOXO4-DRI (Mon/Wed/Fri) Rotate off individually post-cycle to assess tolerance.</w:t>
      </w:r>
    </w:p>
    <w:p w14:paraId="4EC34FCB" w14:textId="77777777" w:rsid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</w:p>
    <w:p w14:paraId="60973AB9" w14:textId="77777777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</w:p>
    <w:p w14:paraId="6F0C5160" w14:textId="77777777" w:rsidR="00C12234" w:rsidRDefault="00C12234" w:rsidP="00C1223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Peptide Details</w:t>
      </w:r>
    </w:p>
    <w:p w14:paraId="264F482F" w14:textId="77777777" w:rsidR="00C12234" w:rsidRPr="00C12234" w:rsidRDefault="00C12234" w:rsidP="00C1223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</w:p>
    <w:p w14:paraId="2FA850F3" w14:textId="77777777" w:rsidR="00C12234" w:rsidRPr="00C12234" w:rsidRDefault="00C12234" w:rsidP="00C1223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SS-31 (</w:t>
      </w:r>
      <w:proofErr w:type="spellStart"/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Elamipretide</w:t>
      </w:r>
      <w:proofErr w:type="spellEnd"/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)</w:t>
      </w:r>
    </w:p>
    <w:p w14:paraId="6736504B" w14:textId="77777777" w:rsid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SS-31, a cell-permeable tetrapeptide (D-Arg-Dmt-Lys-Phe-NH2), selectively partitions into the inner mitochondrial membrane (IMM) with ~5000-fold enrichment via high-affinity electrostatic binding to cardiolipin (CL), an anionic </w:t>
      </w: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diphospholipid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essential for </w:t>
      </w: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cristae structure and electron transport chain (ETC) function</w:t>
      </w:r>
      <w:hyperlink r:id="rId7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[1]</w:t>
        </w:r>
      </w:hyperlink>
      <w:hyperlink r:id="rId8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[2]</w:t>
        </w:r>
      </w:hyperlink>
      <w:hyperlink r:id="rId9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[3]</w:t>
        </w:r>
      </w:hyperlink>
      <w:hyperlink r:id="rId10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[4]</w:t>
        </w:r>
      </w:hyperlink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. This interaction aligns its basic residues (Arg/Lys) with CL's phosphate heads, positioning aromatic residues in acyl chains without destabilizing bilayers</w:t>
      </w:r>
      <w:hyperlink r:id="rId11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[1]</w:t>
        </w:r>
      </w:hyperlink>
      <w:hyperlink r:id="rId12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[2]</w:t>
        </w:r>
      </w:hyperlink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. Key effects: stabilizes CL against peroxidation by inhibiting cytochrome c peroxidase (via heme iron protection) and scavenging H2O2/ROS</w:t>
      </w:r>
      <w:hyperlink r:id="rId13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[2]</w:t>
        </w:r>
      </w:hyperlink>
      <w:hyperlink r:id="rId14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[4]</w:t>
        </w:r>
      </w:hyperlink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; optimizes ETC </w:t>
      </w: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supercomplexes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(e.g., binds NDUA4 in CIV, enhances CI-CIV coupling for ATP production)</w:t>
      </w:r>
      <w:hyperlink r:id="rId15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[3]</w:t>
        </w:r>
      </w:hyperlink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; prevents </w:t>
      </w: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mPTP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opening and mitochondrial fragmentation by balancing OPA1 isoforms and modulating surface electrostatics (alters ion/protein distribution, reduces Ca2+ stress)</w:t>
      </w:r>
      <w:hyperlink r:id="rId16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[1]</w:t>
        </w:r>
      </w:hyperlink>
      <w:hyperlink r:id="rId17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[3]</w:t>
        </w:r>
      </w:hyperlink>
      <w:hyperlink r:id="rId18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[5]</w:t>
        </w:r>
      </w:hyperlink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. Overall, re-energizes ATP flux, reduces ROS, protects cristae/integrity in ischemia, aging, and diseases like DCMA</w:t>
      </w:r>
      <w:hyperlink r:id="rId19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[2]</w:t>
        </w:r>
      </w:hyperlink>
      <w:hyperlink r:id="rId20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[3]</w:t>
        </w:r>
      </w:hyperlink>
      <w:hyperlink r:id="rId21" w:tgtFrame="_blank" w:history="1">
        <w:r w:rsidRPr="00C12234">
          <w:rPr>
            <w:rFonts w:ascii="Arial" w:eastAsia="Times New Roman" w:hAnsi="Arial" w:cs="Arial"/>
            <w:color w:val="0000FF"/>
            <w:kern w:val="0"/>
            <w:u w:val="single"/>
            <w:vertAlign w:val="superscript"/>
            <w14:ligatures w14:val="none"/>
          </w:rPr>
          <w:t>[5]</w:t>
        </w:r>
      </w:hyperlink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35BEA1D2" w14:textId="77777777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9B33B2B" w14:textId="77777777" w:rsidR="00C12234" w:rsidRPr="00C12234" w:rsidRDefault="00C12234" w:rsidP="00C1223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proofErr w:type="spellStart"/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Pinealon</w:t>
      </w:r>
      <w:proofErr w:type="spellEnd"/>
    </w:p>
    <w:p w14:paraId="5BF1A601" w14:textId="77777777" w:rsid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Pinealon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(Glu-Asp-Arg tripeptide) modulates pineal gland activity, upregulating neurotrophic factors like BDNF/NGF to promote neuronal survival, synaptic plasticity, and DNA repair in brain cells under oxidative/traumatic stress. It reduces neuroinflammation, enhances cognitive recovery via gene expression changes favoring neuroprotection (preclinical rodent data; human extrapolation limited).</w:t>
      </w:r>
    </w:p>
    <w:p w14:paraId="1C319E8D" w14:textId="77777777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07A55D8" w14:textId="77777777" w:rsidR="00C12234" w:rsidRPr="00C12234" w:rsidRDefault="00C12234" w:rsidP="00C1223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proofErr w:type="spellStart"/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Epithalon</w:t>
      </w:r>
      <w:proofErr w:type="spellEnd"/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 (</w:t>
      </w:r>
      <w:proofErr w:type="spellStart"/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Epitalon</w:t>
      </w:r>
      <w:proofErr w:type="spellEnd"/>
      <w:r w:rsidRPr="00C1223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14:paraId="503C255F" w14:textId="77777777" w:rsid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Epithalon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(Ala-Glu-Asp-Gly tetrapeptide) induces telomerase activity (hTERT upregulation), elongating telomeres and stabilizing chromosomes against replicative senescence. It normalizes pineal melatonin synthesis, suppresses oxidative damage/p53-mediated apoptosis, and reprograms epigenetics for anti-aging effects like immune modulation and lifespan extension (rodent models).</w:t>
      </w:r>
    </w:p>
    <w:p w14:paraId="25A3D2C0" w14:textId="77777777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E72888D" w14:textId="77777777" w:rsidR="00C12234" w:rsidRPr="00C12234" w:rsidRDefault="00C12234" w:rsidP="00C1223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NAD+ (Nicotinamide Adenine Dinucleotide)</w:t>
      </w:r>
    </w:p>
    <w:p w14:paraId="7AED574B" w14:textId="77777777" w:rsid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NAD+ acts as a critical cofactor for sirtuins (SIRT1/3/6), PARPs, and mitochondrial dehydrogenases. It fuels deacetylation of histones/peroxisome proteins for DNA repair, autophagy, and circadian regulation; restores depleted mitochondrial NAD pools to boost ETC efficiency (complex I activity), ATP synthesis, and ROS detoxification via redox shuttling.</w:t>
      </w:r>
    </w:p>
    <w:p w14:paraId="4F7E5177" w14:textId="77777777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E3AE2C9" w14:textId="77777777" w:rsidR="00C12234" w:rsidRPr="00C12234" w:rsidRDefault="00C12234" w:rsidP="00C1223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C1223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FOXO4-DRI</w:t>
      </w:r>
    </w:p>
    <w:p w14:paraId="341B33AE" w14:textId="77777777" w:rsidR="00C12234" w:rsidRPr="00C12234" w:rsidRDefault="00C12234" w:rsidP="00C122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FOXO4-DRI (D-retro-</w:t>
      </w:r>
      <w:proofErr w:type="spellStart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>inverso</w:t>
      </w:r>
      <w:proofErr w:type="spellEnd"/>
      <w:r w:rsidRPr="00C12234">
        <w:rPr>
          <w:rFonts w:ascii="Arial" w:eastAsia="Times New Roman" w:hAnsi="Arial" w:cs="Arial"/>
          <w:color w:val="000000"/>
          <w:kern w:val="0"/>
          <w14:ligatures w14:val="none"/>
        </w:rPr>
        <w:t xml:space="preserve"> peptide) selectively disrupts the FOXO4-p53 nuclear interaction in senescent cells, displacing p53 from DNA-binding sites. This triggers caspase-mediated apoptosis in irreparably damaged (senescent) cells while sparing healthy ones, reducing senescence-associated secretory phenotype (SASP) inflammation and promoting tissue rejuvenation/stem cell niches (mouse models of aging/frailty).</w:t>
      </w:r>
    </w:p>
    <w:p w14:paraId="309ACB80" w14:textId="77777777" w:rsidR="00C12234" w:rsidRPr="00C12234" w:rsidRDefault="00C12234" w:rsidP="00C12234">
      <w:pPr>
        <w:rPr>
          <w:b/>
          <w:bCs/>
        </w:rPr>
      </w:pPr>
    </w:p>
    <w:sectPr w:rsidR="00C12234" w:rsidRPr="00C12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38E"/>
    <w:multiLevelType w:val="hybridMultilevel"/>
    <w:tmpl w:val="2A881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6729E"/>
    <w:multiLevelType w:val="multilevel"/>
    <w:tmpl w:val="ACE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10549">
    <w:abstractNumId w:val="1"/>
  </w:num>
  <w:num w:numId="2" w16cid:durableId="152281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34"/>
    <w:rsid w:val="00454EE1"/>
    <w:rsid w:val="00464CCB"/>
    <w:rsid w:val="00492F83"/>
    <w:rsid w:val="004C49F3"/>
    <w:rsid w:val="005D342C"/>
    <w:rsid w:val="006029E9"/>
    <w:rsid w:val="0080099F"/>
    <w:rsid w:val="00815C4D"/>
    <w:rsid w:val="00C12234"/>
    <w:rsid w:val="00F5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8399A"/>
  <w15:chartTrackingRefBased/>
  <w15:docId w15:val="{6DEBFE98-F86B-0549-8CE2-BBE4743D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2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2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2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223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22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3736700/" TargetMode="External"/><Relationship Id="rId13" Type="http://schemas.openxmlformats.org/officeDocument/2006/relationships/hyperlink" Target="https://pmc.ncbi.nlm.nih.gov/articles/PMC3736700/" TargetMode="External"/><Relationship Id="rId18" Type="http://schemas.openxmlformats.org/officeDocument/2006/relationships/hyperlink" Target="https://www.frontiersin.org/journals/cardiovascular-medicine/articles/10.3389/fcvm.2019.00167/ful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rontiersin.org/journals/cardiovascular-medicine/articles/10.3389/fcvm.2019.00167/full" TargetMode="External"/><Relationship Id="rId7" Type="http://schemas.openxmlformats.org/officeDocument/2006/relationships/hyperlink" Target="https://pubmed.ncbi.nlm.nih.gov/32273339/" TargetMode="External"/><Relationship Id="rId12" Type="http://schemas.openxmlformats.org/officeDocument/2006/relationships/hyperlink" Target="https://pmc.ncbi.nlm.nih.gov/articles/PMC3736700/" TargetMode="External"/><Relationship Id="rId17" Type="http://schemas.openxmlformats.org/officeDocument/2006/relationships/hyperlink" Target="https://www.pnas.org/doi/10.1073/pnas.2002250117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32273339/" TargetMode="External"/><Relationship Id="rId20" Type="http://schemas.openxmlformats.org/officeDocument/2006/relationships/hyperlink" Target="https://www.pnas.org/doi/10.1073/pnas.200225011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hrcenter.com/peptides/ss-31/" TargetMode="External"/><Relationship Id="rId11" Type="http://schemas.openxmlformats.org/officeDocument/2006/relationships/hyperlink" Target="https://pubmed.ncbi.nlm.nih.gov/32273339/" TargetMode="External"/><Relationship Id="rId5" Type="http://schemas.openxmlformats.org/officeDocument/2006/relationships/hyperlink" Target="https://pmc.ncbi.nlm.nih.gov/articles/PMC6588449/" TargetMode="External"/><Relationship Id="rId15" Type="http://schemas.openxmlformats.org/officeDocument/2006/relationships/hyperlink" Target="https://www.pnas.org/doi/10.1073/pnas.2002250117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ubs.rsc.org/en/content/articlehtml/2024/ra/d4ra05517a" TargetMode="External"/><Relationship Id="rId19" Type="http://schemas.openxmlformats.org/officeDocument/2006/relationships/hyperlink" Target="https://pmc.ncbi.nlm.nih.gov/articles/PMC37367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nas.org/doi/10.1073/pnas.2002250117" TargetMode="External"/><Relationship Id="rId14" Type="http://schemas.openxmlformats.org/officeDocument/2006/relationships/hyperlink" Target="https://pubs.rsc.org/en/content/articlehtml/2024/ra/d4ra05517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744</Words>
  <Characters>4761</Characters>
  <Application>Microsoft Office Word</Application>
  <DocSecurity>0</DocSecurity>
  <Lines>158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Moses</dc:creator>
  <cp:keywords/>
  <dc:description/>
  <cp:lastModifiedBy>Avery Moses</cp:lastModifiedBy>
  <cp:revision>1</cp:revision>
  <dcterms:created xsi:type="dcterms:W3CDTF">2026-03-01T01:02:00Z</dcterms:created>
  <dcterms:modified xsi:type="dcterms:W3CDTF">2026-03-01T01:13:00Z</dcterms:modified>
</cp:coreProperties>
</file>