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97596" w14:textId="4B95CD54" w:rsidR="00741B6C" w:rsidRDefault="00D5080A" w:rsidP="00741B6C">
      <w:pPr>
        <w:jc w:val="center"/>
        <w:rPr>
          <w:b/>
          <w:bCs/>
          <w:sz w:val="32"/>
          <w:szCs w:val="32"/>
        </w:rPr>
      </w:pPr>
      <w:r>
        <w:rPr>
          <w:b/>
          <w:bCs/>
          <w:noProof/>
          <w:sz w:val="32"/>
          <w:szCs w:val="32"/>
        </w:rPr>
        <w:drawing>
          <wp:inline distT="0" distB="0" distL="0" distR="0" wp14:anchorId="4CF2E276" wp14:editId="181C9A4F">
            <wp:extent cx="1054100" cy="1054100"/>
            <wp:effectExtent l="0" t="0" r="0" b="0"/>
            <wp:docPr id="1894317038" name="Picture 1" descr="A qr code with a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17038" name="Picture 1" descr="A qr code with a blue logo&#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54100" cy="1054100"/>
                    </a:xfrm>
                    <a:prstGeom prst="rect">
                      <a:avLst/>
                    </a:prstGeom>
                  </pic:spPr>
                </pic:pic>
              </a:graphicData>
            </a:graphic>
          </wp:inline>
        </w:drawing>
      </w:r>
    </w:p>
    <w:p w14:paraId="4C51021E" w14:textId="77777777" w:rsidR="00741B6C" w:rsidRDefault="00741B6C" w:rsidP="00741B6C">
      <w:pPr>
        <w:jc w:val="center"/>
        <w:rPr>
          <w:b/>
          <w:bCs/>
          <w:sz w:val="32"/>
          <w:szCs w:val="32"/>
        </w:rPr>
      </w:pPr>
    </w:p>
    <w:p w14:paraId="067B1214" w14:textId="3170B809" w:rsidR="005D342C" w:rsidRPr="00D5080A" w:rsidRDefault="00741B6C" w:rsidP="00741B6C">
      <w:pPr>
        <w:jc w:val="center"/>
        <w:rPr>
          <w:b/>
          <w:bCs/>
          <w:sz w:val="40"/>
          <w:szCs w:val="40"/>
        </w:rPr>
      </w:pPr>
      <w:r w:rsidRPr="00D5080A">
        <w:rPr>
          <w:b/>
          <w:bCs/>
          <w:sz w:val="40"/>
          <w:szCs w:val="40"/>
        </w:rPr>
        <w:t>Protocol for gut health and anti-inflammation</w:t>
      </w:r>
    </w:p>
    <w:p w14:paraId="54D533EA" w14:textId="77777777" w:rsidR="00741B6C" w:rsidRDefault="00741B6C" w:rsidP="00741B6C">
      <w:pPr>
        <w:spacing w:before="100" w:beforeAutospacing="1" w:after="100" w:afterAutospacing="1" w:line="240" w:lineRule="auto"/>
        <w:rPr>
          <w:rFonts w:ascii="Times New Roman" w:eastAsia="Times New Roman" w:hAnsi="Times New Roman" w:cs="Times New Roman"/>
          <w:kern w:val="0"/>
          <w14:ligatures w14:val="none"/>
        </w:rPr>
      </w:pPr>
      <w:r w:rsidRPr="00741B6C">
        <w:rPr>
          <w:rFonts w:ascii="Times New Roman" w:eastAsia="Times New Roman" w:hAnsi="Times New Roman" w:cs="Times New Roman"/>
          <w:kern w:val="0"/>
          <w14:ligatures w14:val="none"/>
        </w:rPr>
        <w:t>The primary research peptides that are commercially available (via research chemical suppliers in vial or stabilized capsule form) and have been studied or discussed for gut repair, barrier function, anti-inflammatory effects, and related conditions (e.g., leaky gut, IBS, IBD models) are these five. No exhaustive “all peptides ever” list exists, but these are the ones consistently referenced across sources for these specific goals:</w:t>
      </w:r>
    </w:p>
    <w:p w14:paraId="122F9065" w14:textId="2FBF5D06" w:rsidR="00741B6C" w:rsidRPr="00741B6C" w:rsidRDefault="00741B6C" w:rsidP="00741B6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Please note that this is informational only and not intended for human or veterinary use.  The listed protocols are for research and informational purposes only.  You should consult your physician for health-related questions, guidance and laboratory monitoring.  Additionally, any health or longevity protocol </w:t>
      </w:r>
      <w:proofErr w:type="gramStart"/>
      <w:r>
        <w:rPr>
          <w:rFonts w:ascii="Times New Roman" w:eastAsia="Times New Roman" w:hAnsi="Times New Roman" w:cs="Times New Roman"/>
          <w:kern w:val="0"/>
          <w14:ligatures w14:val="none"/>
        </w:rPr>
        <w:t>is based on the assumption</w:t>
      </w:r>
      <w:proofErr w:type="gramEnd"/>
      <w:r>
        <w:rPr>
          <w:rFonts w:ascii="Times New Roman" w:eastAsia="Times New Roman" w:hAnsi="Times New Roman" w:cs="Times New Roman"/>
          <w:kern w:val="0"/>
          <w14:ligatures w14:val="none"/>
        </w:rPr>
        <w:t xml:space="preserve"> that diet and exercise are already optimized.</w:t>
      </w:r>
    </w:p>
    <w:p w14:paraId="1235857B" w14:textId="77777777" w:rsidR="00741B6C" w:rsidRPr="00741B6C" w:rsidRDefault="00741B6C" w:rsidP="00741B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41B6C">
        <w:rPr>
          <w:rFonts w:ascii="Times New Roman" w:eastAsia="Times New Roman" w:hAnsi="Times New Roman" w:cs="Times New Roman"/>
          <w:b/>
          <w:bCs/>
          <w:kern w:val="0"/>
          <w14:ligatures w14:val="none"/>
        </w:rPr>
        <w:t>BPC-157</w:t>
      </w:r>
      <w:r w:rsidRPr="00741B6C">
        <w:rPr>
          <w:rFonts w:ascii="Times New Roman" w:eastAsia="Times New Roman" w:hAnsi="Times New Roman" w:cs="Times New Roman"/>
          <w:kern w:val="0"/>
          <w14:ligatures w14:val="none"/>
        </w:rPr>
        <w:t xml:space="preserve"> (Body Protection Compound-157) – Derived from gastric juice; promotes gut lining repair, angiogenesis, and reduces inflammation. Strongest evidence for ulcers, leaky gut, and IBD-like models. Available as oral capsules (stable </w:t>
      </w:r>
      <w:proofErr w:type="spellStart"/>
      <w:r w:rsidRPr="00741B6C">
        <w:rPr>
          <w:rFonts w:ascii="Times New Roman" w:eastAsia="Times New Roman" w:hAnsi="Times New Roman" w:cs="Times New Roman"/>
          <w:kern w:val="0"/>
          <w14:ligatures w14:val="none"/>
        </w:rPr>
        <w:t>arginate</w:t>
      </w:r>
      <w:proofErr w:type="spellEnd"/>
      <w:r w:rsidRPr="00741B6C">
        <w:rPr>
          <w:rFonts w:ascii="Times New Roman" w:eastAsia="Times New Roman" w:hAnsi="Times New Roman" w:cs="Times New Roman"/>
          <w:kern w:val="0"/>
          <w14:ligatures w14:val="none"/>
        </w:rPr>
        <w:t xml:space="preserve"> salt) or injectable.</w:t>
      </w:r>
    </w:p>
    <w:p w14:paraId="2A4E819F" w14:textId="77777777" w:rsidR="00741B6C" w:rsidRPr="00741B6C" w:rsidRDefault="00741B6C" w:rsidP="00741B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41B6C">
        <w:rPr>
          <w:rFonts w:ascii="Times New Roman" w:eastAsia="Times New Roman" w:hAnsi="Times New Roman" w:cs="Times New Roman"/>
          <w:b/>
          <w:bCs/>
          <w:kern w:val="0"/>
          <w14:ligatures w14:val="none"/>
        </w:rPr>
        <w:t>KPV</w:t>
      </w:r>
      <w:r w:rsidRPr="00741B6C">
        <w:rPr>
          <w:rFonts w:ascii="Times New Roman" w:eastAsia="Times New Roman" w:hAnsi="Times New Roman" w:cs="Times New Roman"/>
          <w:kern w:val="0"/>
          <w14:ligatures w14:val="none"/>
        </w:rPr>
        <w:t xml:space="preserve"> (Lys-Pro-Val, fragment of α-MSH) – Potent anti-inflammatory tripeptide; calms NF-</w:t>
      </w:r>
      <w:proofErr w:type="spellStart"/>
      <w:r w:rsidRPr="00741B6C">
        <w:rPr>
          <w:rFonts w:ascii="Times New Roman" w:eastAsia="Times New Roman" w:hAnsi="Times New Roman" w:cs="Times New Roman"/>
          <w:kern w:val="0"/>
          <w14:ligatures w14:val="none"/>
        </w:rPr>
        <w:t>κB</w:t>
      </w:r>
      <w:proofErr w:type="spellEnd"/>
      <w:r w:rsidRPr="00741B6C">
        <w:rPr>
          <w:rFonts w:ascii="Times New Roman" w:eastAsia="Times New Roman" w:hAnsi="Times New Roman" w:cs="Times New Roman"/>
          <w:kern w:val="0"/>
          <w14:ligatures w14:val="none"/>
        </w:rPr>
        <w:t>/cytokine pathways, supports intestinal mucus barrier and microbiome balance. Excellent for gut-specific inflammation. Available oral or injectable.</w:t>
      </w:r>
    </w:p>
    <w:p w14:paraId="20CF849C" w14:textId="77777777" w:rsidR="00741B6C" w:rsidRPr="00741B6C" w:rsidRDefault="00741B6C" w:rsidP="00741B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41B6C">
        <w:rPr>
          <w:rFonts w:ascii="Times New Roman" w:eastAsia="Times New Roman" w:hAnsi="Times New Roman" w:cs="Times New Roman"/>
          <w:b/>
          <w:bCs/>
          <w:kern w:val="0"/>
          <w14:ligatures w14:val="none"/>
        </w:rPr>
        <w:t>TB-500</w:t>
      </w:r>
      <w:r w:rsidRPr="00741B6C">
        <w:rPr>
          <w:rFonts w:ascii="Times New Roman" w:eastAsia="Times New Roman" w:hAnsi="Times New Roman" w:cs="Times New Roman"/>
          <w:kern w:val="0"/>
          <w14:ligatures w14:val="none"/>
        </w:rPr>
        <w:t xml:space="preserve"> (Thymosin Beta-4 fragment) – Enhances cell migration, actin regulation, and systemic tissue repair; reduces inflammation and scarring. Complements gut healing with broader recovery. Primarily injectable (not orally bioavailable).</w:t>
      </w:r>
    </w:p>
    <w:p w14:paraId="541F11F6" w14:textId="77777777" w:rsidR="00741B6C" w:rsidRPr="00741B6C" w:rsidRDefault="00741B6C" w:rsidP="00741B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41B6C">
        <w:rPr>
          <w:rFonts w:ascii="Times New Roman" w:eastAsia="Times New Roman" w:hAnsi="Times New Roman" w:cs="Times New Roman"/>
          <w:b/>
          <w:bCs/>
          <w:kern w:val="0"/>
          <w14:ligatures w14:val="none"/>
        </w:rPr>
        <w:t>GHK-Cu</w:t>
      </w:r>
      <w:r w:rsidRPr="00741B6C">
        <w:rPr>
          <w:rFonts w:ascii="Times New Roman" w:eastAsia="Times New Roman" w:hAnsi="Times New Roman" w:cs="Times New Roman"/>
          <w:kern w:val="0"/>
          <w14:ligatures w14:val="none"/>
        </w:rPr>
        <w:t xml:space="preserve"> (Glycyl-L-histidyl-L-lysine copper complex) – Modulates inflammation, stimulates collagen/extracellular matrix repair, and supports antioxidant balance. Adds skin/gut regeneration benefits. Injectable or topical; copper can interact with other peptides if mixed long-term.</w:t>
      </w:r>
    </w:p>
    <w:p w14:paraId="4700FA89" w14:textId="77777777" w:rsidR="00741B6C" w:rsidRPr="00741B6C" w:rsidRDefault="00741B6C" w:rsidP="00741B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41B6C">
        <w:rPr>
          <w:rFonts w:ascii="Times New Roman" w:eastAsia="Times New Roman" w:hAnsi="Times New Roman" w:cs="Times New Roman"/>
          <w:b/>
          <w:bCs/>
          <w:kern w:val="0"/>
          <w14:ligatures w14:val="none"/>
        </w:rPr>
        <w:t>Larazotide</w:t>
      </w:r>
      <w:r w:rsidRPr="00741B6C">
        <w:rPr>
          <w:rFonts w:ascii="Times New Roman" w:eastAsia="Times New Roman" w:hAnsi="Times New Roman" w:cs="Times New Roman"/>
          <w:kern w:val="0"/>
          <w14:ligatures w14:val="none"/>
        </w:rPr>
        <w:t xml:space="preserve"> (Larazotide acetate, 8-amino-acid synthetic peptide) – Tight-junction regulator (</w:t>
      </w:r>
      <w:proofErr w:type="spellStart"/>
      <w:r w:rsidRPr="00741B6C">
        <w:rPr>
          <w:rFonts w:ascii="Times New Roman" w:eastAsia="Times New Roman" w:hAnsi="Times New Roman" w:cs="Times New Roman"/>
          <w:kern w:val="0"/>
          <w14:ligatures w14:val="none"/>
        </w:rPr>
        <w:t>zonulin</w:t>
      </w:r>
      <w:proofErr w:type="spellEnd"/>
      <w:r w:rsidRPr="00741B6C">
        <w:rPr>
          <w:rFonts w:ascii="Times New Roman" w:eastAsia="Times New Roman" w:hAnsi="Times New Roman" w:cs="Times New Roman"/>
          <w:kern w:val="0"/>
          <w14:ligatures w14:val="none"/>
        </w:rPr>
        <w:t xml:space="preserve"> antagonist); specifically targets intestinal permeability (“leaky gut”). Studied in celiac and permeability models. Oral capsule form.</w:t>
      </w:r>
    </w:p>
    <w:p w14:paraId="0B983064" w14:textId="77777777" w:rsidR="00741B6C" w:rsidRPr="00741B6C" w:rsidRDefault="00741B6C" w:rsidP="00741B6C">
      <w:pPr>
        <w:spacing w:before="100" w:beforeAutospacing="1" w:after="100" w:afterAutospacing="1" w:line="240" w:lineRule="auto"/>
        <w:rPr>
          <w:rFonts w:ascii="Times New Roman" w:eastAsia="Times New Roman" w:hAnsi="Times New Roman" w:cs="Times New Roman"/>
          <w:kern w:val="0"/>
          <w14:ligatures w14:val="none"/>
        </w:rPr>
      </w:pPr>
      <w:r w:rsidRPr="00741B6C">
        <w:rPr>
          <w:rFonts w:ascii="Times New Roman" w:eastAsia="Times New Roman" w:hAnsi="Times New Roman" w:cs="Times New Roman"/>
          <w:kern w:val="0"/>
          <w14:ligatures w14:val="none"/>
        </w:rPr>
        <w:t>These are the ones sold in research blends (e.g., BPC-157 + KPV + TB-500 + GHK-Cu “</w:t>
      </w:r>
      <w:proofErr w:type="spellStart"/>
      <w:r w:rsidRPr="00741B6C">
        <w:rPr>
          <w:rFonts w:ascii="Times New Roman" w:eastAsia="Times New Roman" w:hAnsi="Times New Roman" w:cs="Times New Roman"/>
          <w:kern w:val="0"/>
          <w14:ligatures w14:val="none"/>
        </w:rPr>
        <w:t>Klow</w:t>
      </w:r>
      <w:proofErr w:type="spellEnd"/>
      <w:r w:rsidRPr="00741B6C">
        <w:rPr>
          <w:rFonts w:ascii="Times New Roman" w:eastAsia="Times New Roman" w:hAnsi="Times New Roman" w:cs="Times New Roman"/>
          <w:kern w:val="0"/>
          <w14:ligatures w14:val="none"/>
        </w:rPr>
        <w:t>/Glow” blends or oral gut capsules combining BPC-157 + KPV + Larazotide). Other peptides (e.g., Thymosin Alpha-1 for immune modulation) exist but are less directly tied to gut/inflammation repair in the literature.</w:t>
      </w:r>
    </w:p>
    <w:p w14:paraId="68851EE7" w14:textId="77777777" w:rsidR="00741B6C" w:rsidRPr="00741B6C" w:rsidRDefault="00741B6C" w:rsidP="00741B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1B6C">
        <w:rPr>
          <w:rFonts w:ascii="Times New Roman" w:eastAsia="Times New Roman" w:hAnsi="Times New Roman" w:cs="Times New Roman"/>
          <w:b/>
          <w:bCs/>
          <w:kern w:val="0"/>
          <w:sz w:val="27"/>
          <w:szCs w:val="27"/>
          <w14:ligatures w14:val="none"/>
        </w:rPr>
        <w:lastRenderedPageBreak/>
        <w:t>Recommended Protocol Options (2–5 Peptides)</w:t>
      </w:r>
    </w:p>
    <w:p w14:paraId="55FF750F" w14:textId="77777777" w:rsidR="00741B6C" w:rsidRPr="00741B6C" w:rsidRDefault="00741B6C" w:rsidP="00741B6C">
      <w:pPr>
        <w:spacing w:before="100" w:beforeAutospacing="1" w:after="100" w:afterAutospacing="1" w:line="240" w:lineRule="auto"/>
        <w:rPr>
          <w:rFonts w:ascii="Times New Roman" w:eastAsia="Times New Roman" w:hAnsi="Times New Roman" w:cs="Times New Roman"/>
          <w:kern w:val="0"/>
          <w14:ligatures w14:val="none"/>
        </w:rPr>
      </w:pPr>
      <w:r w:rsidRPr="00741B6C">
        <w:rPr>
          <w:rFonts w:ascii="Times New Roman" w:eastAsia="Times New Roman" w:hAnsi="Times New Roman" w:cs="Times New Roman"/>
          <w:kern w:val="0"/>
          <w14:ligatures w14:val="none"/>
        </w:rPr>
        <w:t xml:space="preserve">Choose based on your goals and tolerance. </w:t>
      </w:r>
      <w:r w:rsidRPr="00741B6C">
        <w:rPr>
          <w:rFonts w:ascii="Times New Roman" w:eastAsia="Times New Roman" w:hAnsi="Times New Roman" w:cs="Times New Roman"/>
          <w:b/>
          <w:bCs/>
          <w:kern w:val="0"/>
          <w14:ligatures w14:val="none"/>
        </w:rPr>
        <w:t>Gut-focused</w:t>
      </w:r>
      <w:r w:rsidRPr="00741B6C">
        <w:rPr>
          <w:rFonts w:ascii="Times New Roman" w:eastAsia="Times New Roman" w:hAnsi="Times New Roman" w:cs="Times New Roman"/>
          <w:kern w:val="0"/>
          <w14:ligatures w14:val="none"/>
        </w:rPr>
        <w:t xml:space="preserve"> protocols prioritize oral forms for direct intestinal delivery. Start low, monitor response, and use pharmaceutical-grade reconstitution (bacteriostatic water) for injectables. Typical cycle: 4–8 weeks on, followed by 2–4 weeks off. Pair with a clean anti-inflammatory diet, stress management, and probiotics.</w:t>
      </w:r>
    </w:p>
    <w:p w14:paraId="443AA4EE" w14:textId="77777777" w:rsidR="00741B6C" w:rsidRPr="00741B6C" w:rsidRDefault="00741B6C" w:rsidP="00741B6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41B6C">
        <w:rPr>
          <w:rFonts w:ascii="Times New Roman" w:eastAsia="Times New Roman" w:hAnsi="Times New Roman" w:cs="Times New Roman"/>
          <w:b/>
          <w:bCs/>
          <w:kern w:val="0"/>
          <w14:ligatures w14:val="none"/>
        </w:rPr>
        <w:t>Option 1: Minimal Effective Stack (2 Peptides) – Best starter for pure gut issues</w:t>
      </w:r>
    </w:p>
    <w:p w14:paraId="18D60831" w14:textId="77777777" w:rsidR="00741B6C" w:rsidRPr="00741B6C" w:rsidRDefault="00741B6C" w:rsidP="00741B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41B6C">
        <w:rPr>
          <w:rFonts w:ascii="Times New Roman" w:eastAsia="Times New Roman" w:hAnsi="Times New Roman" w:cs="Times New Roman"/>
          <w:b/>
          <w:bCs/>
          <w:kern w:val="0"/>
          <w14:ligatures w14:val="none"/>
        </w:rPr>
        <w:t>BPC-157</w:t>
      </w:r>
      <w:r w:rsidRPr="00741B6C">
        <w:rPr>
          <w:rFonts w:ascii="Times New Roman" w:eastAsia="Times New Roman" w:hAnsi="Times New Roman" w:cs="Times New Roman"/>
          <w:kern w:val="0"/>
          <w14:ligatures w14:val="none"/>
        </w:rPr>
        <w:t>: 250–500 mcg oral capsule once or twice daily (empty stomach).</w:t>
      </w:r>
    </w:p>
    <w:p w14:paraId="66050F73" w14:textId="77777777" w:rsidR="00741B6C" w:rsidRPr="00741B6C" w:rsidRDefault="00741B6C" w:rsidP="00741B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41B6C">
        <w:rPr>
          <w:rFonts w:ascii="Times New Roman" w:eastAsia="Times New Roman" w:hAnsi="Times New Roman" w:cs="Times New Roman"/>
          <w:b/>
          <w:bCs/>
          <w:kern w:val="0"/>
          <w14:ligatures w14:val="none"/>
        </w:rPr>
        <w:t>KPV</w:t>
      </w:r>
      <w:r w:rsidRPr="00741B6C">
        <w:rPr>
          <w:rFonts w:ascii="Times New Roman" w:eastAsia="Times New Roman" w:hAnsi="Times New Roman" w:cs="Times New Roman"/>
          <w:kern w:val="0"/>
          <w14:ligatures w14:val="none"/>
        </w:rPr>
        <w:t>: 200–500 mcg oral capsule daily (often combined with BPC-157 in one capsule for convenience).</w:t>
      </w:r>
    </w:p>
    <w:p w14:paraId="6B2E8BD6" w14:textId="77777777" w:rsidR="00741B6C" w:rsidRPr="00741B6C" w:rsidRDefault="00741B6C" w:rsidP="00741B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41B6C">
        <w:rPr>
          <w:rFonts w:ascii="Times New Roman" w:eastAsia="Times New Roman" w:hAnsi="Times New Roman" w:cs="Times New Roman"/>
          <w:b/>
          <w:bCs/>
          <w:kern w:val="0"/>
          <w14:ligatures w14:val="none"/>
        </w:rPr>
        <w:t>Why?</w:t>
      </w:r>
      <w:r w:rsidRPr="00741B6C">
        <w:rPr>
          <w:rFonts w:ascii="Times New Roman" w:eastAsia="Times New Roman" w:hAnsi="Times New Roman" w:cs="Times New Roman"/>
          <w:kern w:val="0"/>
          <w14:ligatures w14:val="none"/>
        </w:rPr>
        <w:t xml:space="preserve"> Synergistic gut-lining repair + inflammation control. Many oral “gut inflammation” blends use exactly this pair.</w:t>
      </w:r>
    </w:p>
    <w:p w14:paraId="73B78182" w14:textId="77777777" w:rsidR="00741B6C" w:rsidRPr="00741B6C" w:rsidRDefault="00741B6C" w:rsidP="00741B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41B6C">
        <w:rPr>
          <w:rFonts w:ascii="Times New Roman" w:eastAsia="Times New Roman" w:hAnsi="Times New Roman" w:cs="Times New Roman"/>
          <w:b/>
          <w:bCs/>
          <w:kern w:val="0"/>
          <w14:ligatures w14:val="none"/>
        </w:rPr>
        <w:t>Duration</w:t>
      </w:r>
      <w:r w:rsidRPr="00741B6C">
        <w:rPr>
          <w:rFonts w:ascii="Times New Roman" w:eastAsia="Times New Roman" w:hAnsi="Times New Roman" w:cs="Times New Roman"/>
          <w:kern w:val="0"/>
          <w14:ligatures w14:val="none"/>
        </w:rPr>
        <w:t>: 4–6 weeks.</w:t>
      </w:r>
    </w:p>
    <w:p w14:paraId="61F0404D" w14:textId="77777777" w:rsidR="00741B6C" w:rsidRPr="00741B6C" w:rsidRDefault="00741B6C" w:rsidP="00741B6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41B6C">
        <w:rPr>
          <w:rFonts w:ascii="Times New Roman" w:eastAsia="Times New Roman" w:hAnsi="Times New Roman" w:cs="Times New Roman"/>
          <w:b/>
          <w:bCs/>
          <w:kern w:val="0"/>
          <w14:ligatures w14:val="none"/>
        </w:rPr>
        <w:t>Option 2: Balanced Healing Stack (3 Peptides) – Good for gut + mild systemic inflammation</w:t>
      </w:r>
    </w:p>
    <w:p w14:paraId="58DFAF59" w14:textId="77777777" w:rsidR="00741B6C" w:rsidRPr="00741B6C" w:rsidRDefault="00741B6C" w:rsidP="00741B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41B6C">
        <w:rPr>
          <w:rFonts w:ascii="Times New Roman" w:eastAsia="Times New Roman" w:hAnsi="Times New Roman" w:cs="Times New Roman"/>
          <w:kern w:val="0"/>
          <w14:ligatures w14:val="none"/>
        </w:rPr>
        <w:t xml:space="preserve">Add </w:t>
      </w:r>
      <w:r w:rsidRPr="00741B6C">
        <w:rPr>
          <w:rFonts w:ascii="Times New Roman" w:eastAsia="Times New Roman" w:hAnsi="Times New Roman" w:cs="Times New Roman"/>
          <w:b/>
          <w:bCs/>
          <w:kern w:val="0"/>
          <w14:ligatures w14:val="none"/>
        </w:rPr>
        <w:t>TB-500</w:t>
      </w:r>
      <w:r w:rsidRPr="00741B6C">
        <w:rPr>
          <w:rFonts w:ascii="Times New Roman" w:eastAsia="Times New Roman" w:hAnsi="Times New Roman" w:cs="Times New Roman"/>
          <w:kern w:val="0"/>
          <w14:ligatures w14:val="none"/>
        </w:rPr>
        <w:t>: 2.5–5 mg subcutaneous injection, 2 times per week (e.g., Monday/Thursday).</w:t>
      </w:r>
    </w:p>
    <w:p w14:paraId="1856E052" w14:textId="77777777" w:rsidR="00741B6C" w:rsidRPr="00741B6C" w:rsidRDefault="00741B6C" w:rsidP="00741B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41B6C">
        <w:rPr>
          <w:rFonts w:ascii="Times New Roman" w:eastAsia="Times New Roman" w:hAnsi="Times New Roman" w:cs="Times New Roman"/>
          <w:kern w:val="0"/>
          <w14:ligatures w14:val="none"/>
        </w:rPr>
        <w:t>Keep BPC-157 + KPV oral as above.</w:t>
      </w:r>
    </w:p>
    <w:p w14:paraId="57E86E59" w14:textId="77777777" w:rsidR="00741B6C" w:rsidRPr="00741B6C" w:rsidRDefault="00741B6C" w:rsidP="00741B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41B6C">
        <w:rPr>
          <w:rFonts w:ascii="Times New Roman" w:eastAsia="Times New Roman" w:hAnsi="Times New Roman" w:cs="Times New Roman"/>
          <w:b/>
          <w:bCs/>
          <w:kern w:val="0"/>
          <w14:ligatures w14:val="none"/>
        </w:rPr>
        <w:t>Why?</w:t>
      </w:r>
      <w:r w:rsidRPr="00741B6C">
        <w:rPr>
          <w:rFonts w:ascii="Times New Roman" w:eastAsia="Times New Roman" w:hAnsi="Times New Roman" w:cs="Times New Roman"/>
          <w:kern w:val="0"/>
          <w14:ligatures w14:val="none"/>
        </w:rPr>
        <w:t xml:space="preserve"> TB-500 amplifies tissue repair and reduces broader inflammation without daily injections.</w:t>
      </w:r>
    </w:p>
    <w:p w14:paraId="0ADE2DE4" w14:textId="77777777" w:rsidR="00741B6C" w:rsidRPr="00741B6C" w:rsidRDefault="00741B6C" w:rsidP="00741B6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41B6C">
        <w:rPr>
          <w:rFonts w:ascii="Times New Roman" w:eastAsia="Times New Roman" w:hAnsi="Times New Roman" w:cs="Times New Roman"/>
          <w:b/>
          <w:bCs/>
          <w:kern w:val="0"/>
          <w14:ligatures w14:val="none"/>
        </w:rPr>
        <w:t>Option 3: Comprehensive Recovery Stack (4 Peptides) – Most common advanced option (matches commercial “</w:t>
      </w:r>
      <w:proofErr w:type="spellStart"/>
      <w:r w:rsidRPr="00741B6C">
        <w:rPr>
          <w:rFonts w:ascii="Times New Roman" w:eastAsia="Times New Roman" w:hAnsi="Times New Roman" w:cs="Times New Roman"/>
          <w:b/>
          <w:bCs/>
          <w:kern w:val="0"/>
          <w14:ligatures w14:val="none"/>
        </w:rPr>
        <w:t>Klow</w:t>
      </w:r>
      <w:proofErr w:type="spellEnd"/>
      <w:r w:rsidRPr="00741B6C">
        <w:rPr>
          <w:rFonts w:ascii="Times New Roman" w:eastAsia="Times New Roman" w:hAnsi="Times New Roman" w:cs="Times New Roman"/>
          <w:b/>
          <w:bCs/>
          <w:kern w:val="0"/>
          <w14:ligatures w14:val="none"/>
        </w:rPr>
        <w:t>/Glow” blends)</w:t>
      </w:r>
    </w:p>
    <w:p w14:paraId="08934A57" w14:textId="77777777" w:rsidR="00741B6C" w:rsidRPr="00741B6C" w:rsidRDefault="00741B6C" w:rsidP="00741B6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41B6C">
        <w:rPr>
          <w:rFonts w:ascii="Times New Roman" w:eastAsia="Times New Roman" w:hAnsi="Times New Roman" w:cs="Times New Roman"/>
          <w:b/>
          <w:bCs/>
          <w:kern w:val="0"/>
          <w14:ligatures w14:val="none"/>
        </w:rPr>
        <w:t>BPC-157</w:t>
      </w:r>
      <w:r w:rsidRPr="00741B6C">
        <w:rPr>
          <w:rFonts w:ascii="Times New Roman" w:eastAsia="Times New Roman" w:hAnsi="Times New Roman" w:cs="Times New Roman"/>
          <w:kern w:val="0"/>
          <w14:ligatures w14:val="none"/>
        </w:rPr>
        <w:t>: 250–500 mcg oral daily.</w:t>
      </w:r>
    </w:p>
    <w:p w14:paraId="15979C29" w14:textId="77777777" w:rsidR="00741B6C" w:rsidRPr="00741B6C" w:rsidRDefault="00741B6C" w:rsidP="00741B6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41B6C">
        <w:rPr>
          <w:rFonts w:ascii="Times New Roman" w:eastAsia="Times New Roman" w:hAnsi="Times New Roman" w:cs="Times New Roman"/>
          <w:b/>
          <w:bCs/>
          <w:kern w:val="0"/>
          <w14:ligatures w14:val="none"/>
        </w:rPr>
        <w:t>KPV</w:t>
      </w:r>
      <w:r w:rsidRPr="00741B6C">
        <w:rPr>
          <w:rFonts w:ascii="Times New Roman" w:eastAsia="Times New Roman" w:hAnsi="Times New Roman" w:cs="Times New Roman"/>
          <w:kern w:val="0"/>
          <w14:ligatures w14:val="none"/>
        </w:rPr>
        <w:t>: 200–500 mcg oral daily.</w:t>
      </w:r>
    </w:p>
    <w:p w14:paraId="744E9F57" w14:textId="77777777" w:rsidR="00741B6C" w:rsidRPr="00741B6C" w:rsidRDefault="00741B6C" w:rsidP="00741B6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41B6C">
        <w:rPr>
          <w:rFonts w:ascii="Times New Roman" w:eastAsia="Times New Roman" w:hAnsi="Times New Roman" w:cs="Times New Roman"/>
          <w:b/>
          <w:bCs/>
          <w:kern w:val="0"/>
          <w14:ligatures w14:val="none"/>
        </w:rPr>
        <w:t>TB-500</w:t>
      </w:r>
      <w:r w:rsidRPr="00741B6C">
        <w:rPr>
          <w:rFonts w:ascii="Times New Roman" w:eastAsia="Times New Roman" w:hAnsi="Times New Roman" w:cs="Times New Roman"/>
          <w:kern w:val="0"/>
          <w14:ligatures w14:val="none"/>
        </w:rPr>
        <w:t xml:space="preserve">: 2.5–5 mg </w:t>
      </w:r>
      <w:proofErr w:type="spellStart"/>
      <w:r w:rsidRPr="00741B6C">
        <w:rPr>
          <w:rFonts w:ascii="Times New Roman" w:eastAsia="Times New Roman" w:hAnsi="Times New Roman" w:cs="Times New Roman"/>
          <w:kern w:val="0"/>
          <w14:ligatures w14:val="none"/>
        </w:rPr>
        <w:t>subQ</w:t>
      </w:r>
      <w:proofErr w:type="spellEnd"/>
      <w:r w:rsidRPr="00741B6C">
        <w:rPr>
          <w:rFonts w:ascii="Times New Roman" w:eastAsia="Times New Roman" w:hAnsi="Times New Roman" w:cs="Times New Roman"/>
          <w:kern w:val="0"/>
          <w14:ligatures w14:val="none"/>
        </w:rPr>
        <w:t>, 2×/week.</w:t>
      </w:r>
    </w:p>
    <w:p w14:paraId="0743D3A1" w14:textId="77777777" w:rsidR="00741B6C" w:rsidRPr="00741B6C" w:rsidRDefault="00741B6C" w:rsidP="00741B6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41B6C">
        <w:rPr>
          <w:rFonts w:ascii="Times New Roman" w:eastAsia="Times New Roman" w:hAnsi="Times New Roman" w:cs="Times New Roman"/>
          <w:b/>
          <w:bCs/>
          <w:kern w:val="0"/>
          <w14:ligatures w14:val="none"/>
        </w:rPr>
        <w:t>GHK-Cu</w:t>
      </w:r>
      <w:r w:rsidRPr="00741B6C">
        <w:rPr>
          <w:rFonts w:ascii="Times New Roman" w:eastAsia="Times New Roman" w:hAnsi="Times New Roman" w:cs="Times New Roman"/>
          <w:kern w:val="0"/>
          <w14:ligatures w14:val="none"/>
        </w:rPr>
        <w:t xml:space="preserve">: 1–2 mg </w:t>
      </w:r>
      <w:proofErr w:type="spellStart"/>
      <w:r w:rsidRPr="00741B6C">
        <w:rPr>
          <w:rFonts w:ascii="Times New Roman" w:eastAsia="Times New Roman" w:hAnsi="Times New Roman" w:cs="Times New Roman"/>
          <w:kern w:val="0"/>
          <w14:ligatures w14:val="none"/>
        </w:rPr>
        <w:t>subQ</w:t>
      </w:r>
      <w:proofErr w:type="spellEnd"/>
      <w:r w:rsidRPr="00741B6C">
        <w:rPr>
          <w:rFonts w:ascii="Times New Roman" w:eastAsia="Times New Roman" w:hAnsi="Times New Roman" w:cs="Times New Roman"/>
          <w:kern w:val="0"/>
          <w14:ligatures w14:val="none"/>
        </w:rPr>
        <w:t xml:space="preserve"> once daily (can be mixed with TB-500 or BPC-157 in the same syringe if fresh; some prefer separate to avoid copper degradation of other peptides).</w:t>
      </w:r>
    </w:p>
    <w:p w14:paraId="501A871A" w14:textId="77777777" w:rsidR="00741B6C" w:rsidRPr="00741B6C" w:rsidRDefault="00741B6C" w:rsidP="00741B6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41B6C">
        <w:rPr>
          <w:rFonts w:ascii="Times New Roman" w:eastAsia="Times New Roman" w:hAnsi="Times New Roman" w:cs="Times New Roman"/>
          <w:b/>
          <w:bCs/>
          <w:kern w:val="0"/>
          <w14:ligatures w14:val="none"/>
        </w:rPr>
        <w:t>Why?</w:t>
      </w:r>
      <w:r w:rsidRPr="00741B6C">
        <w:rPr>
          <w:rFonts w:ascii="Times New Roman" w:eastAsia="Times New Roman" w:hAnsi="Times New Roman" w:cs="Times New Roman"/>
          <w:kern w:val="0"/>
          <w14:ligatures w14:val="none"/>
        </w:rPr>
        <w:t xml:space="preserve"> Full-spectrum: gut repair (BPC/KPV), systemic healing/anti-inflammatory (TB-500), plus collagen/antioxidant regeneration (GHK-Cu). Widely used in research recovery protocols.</w:t>
      </w:r>
    </w:p>
    <w:p w14:paraId="24BDD274" w14:textId="77777777" w:rsidR="00741B6C" w:rsidRPr="00741B6C" w:rsidRDefault="00741B6C" w:rsidP="00741B6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41B6C">
        <w:rPr>
          <w:rFonts w:ascii="Times New Roman" w:eastAsia="Times New Roman" w:hAnsi="Times New Roman" w:cs="Times New Roman"/>
          <w:b/>
          <w:bCs/>
          <w:kern w:val="0"/>
          <w14:ligatures w14:val="none"/>
        </w:rPr>
        <w:t xml:space="preserve">Administration </w:t>
      </w:r>
      <w:proofErr w:type="gramStart"/>
      <w:r w:rsidRPr="00741B6C">
        <w:rPr>
          <w:rFonts w:ascii="Times New Roman" w:eastAsia="Times New Roman" w:hAnsi="Times New Roman" w:cs="Times New Roman"/>
          <w:b/>
          <w:bCs/>
          <w:kern w:val="0"/>
          <w14:ligatures w14:val="none"/>
        </w:rPr>
        <w:t>note</w:t>
      </w:r>
      <w:proofErr w:type="gramEnd"/>
      <w:r w:rsidRPr="00741B6C">
        <w:rPr>
          <w:rFonts w:ascii="Times New Roman" w:eastAsia="Times New Roman" w:hAnsi="Times New Roman" w:cs="Times New Roman"/>
          <w:kern w:val="0"/>
          <w14:ligatures w14:val="none"/>
        </w:rPr>
        <w:t>: Oral peptides first thing in the morning; injectables in the evening or post-workout. Rotate injection sites (abdomen/thigh).</w:t>
      </w:r>
    </w:p>
    <w:p w14:paraId="213F7619" w14:textId="77777777" w:rsidR="00741B6C" w:rsidRPr="00741B6C" w:rsidRDefault="00741B6C" w:rsidP="00741B6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41B6C">
        <w:rPr>
          <w:rFonts w:ascii="Times New Roman" w:eastAsia="Times New Roman" w:hAnsi="Times New Roman" w:cs="Times New Roman"/>
          <w:b/>
          <w:bCs/>
          <w:kern w:val="0"/>
          <w14:ligatures w14:val="none"/>
        </w:rPr>
        <w:t>Option 4: Maximum Gut-Barrier Stack (5 Peptides) – For severe leaky gut/permeability focus</w:t>
      </w:r>
    </w:p>
    <w:p w14:paraId="1AA25B46" w14:textId="77777777" w:rsidR="00741B6C" w:rsidRPr="00741B6C" w:rsidRDefault="00741B6C" w:rsidP="00741B6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41B6C">
        <w:rPr>
          <w:rFonts w:ascii="Times New Roman" w:eastAsia="Times New Roman" w:hAnsi="Times New Roman" w:cs="Times New Roman"/>
          <w:kern w:val="0"/>
          <w14:ligatures w14:val="none"/>
        </w:rPr>
        <w:t xml:space="preserve">Use the 4-peptide stack above + </w:t>
      </w:r>
      <w:r w:rsidRPr="00741B6C">
        <w:rPr>
          <w:rFonts w:ascii="Times New Roman" w:eastAsia="Times New Roman" w:hAnsi="Times New Roman" w:cs="Times New Roman"/>
          <w:b/>
          <w:bCs/>
          <w:kern w:val="0"/>
          <w14:ligatures w14:val="none"/>
        </w:rPr>
        <w:t>Larazotide</w:t>
      </w:r>
      <w:r w:rsidRPr="00741B6C">
        <w:rPr>
          <w:rFonts w:ascii="Times New Roman" w:eastAsia="Times New Roman" w:hAnsi="Times New Roman" w:cs="Times New Roman"/>
          <w:kern w:val="0"/>
          <w14:ligatures w14:val="none"/>
        </w:rPr>
        <w:t>: 0.5–1 mg oral capsule 1–3 times daily before meals.</w:t>
      </w:r>
    </w:p>
    <w:p w14:paraId="61945D20" w14:textId="77777777" w:rsidR="00741B6C" w:rsidRPr="00741B6C" w:rsidRDefault="00741B6C" w:rsidP="00741B6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41B6C">
        <w:rPr>
          <w:rFonts w:ascii="Times New Roman" w:eastAsia="Times New Roman" w:hAnsi="Times New Roman" w:cs="Times New Roman"/>
          <w:b/>
          <w:bCs/>
          <w:kern w:val="0"/>
          <w14:ligatures w14:val="none"/>
        </w:rPr>
        <w:lastRenderedPageBreak/>
        <w:t>Why?</w:t>
      </w:r>
      <w:r w:rsidRPr="00741B6C">
        <w:rPr>
          <w:rFonts w:ascii="Times New Roman" w:eastAsia="Times New Roman" w:hAnsi="Times New Roman" w:cs="Times New Roman"/>
          <w:kern w:val="0"/>
          <w14:ligatures w14:val="none"/>
        </w:rPr>
        <w:t xml:space="preserve"> Larazotide directly tightens junctions while the others repair and calm inflammation. Some suppliers offer pre-made oral capsules with BPC-157 + KPV + Larazotide.</w:t>
      </w:r>
    </w:p>
    <w:p w14:paraId="13C58685" w14:textId="77777777" w:rsidR="00741B6C" w:rsidRPr="00741B6C" w:rsidRDefault="00741B6C" w:rsidP="00741B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1B6C">
        <w:rPr>
          <w:rFonts w:ascii="Times New Roman" w:eastAsia="Times New Roman" w:hAnsi="Times New Roman" w:cs="Times New Roman"/>
          <w:b/>
          <w:bCs/>
          <w:kern w:val="0"/>
          <w:sz w:val="27"/>
          <w:szCs w:val="27"/>
          <w14:ligatures w14:val="none"/>
        </w:rPr>
        <w:t>Additional Guidance</w:t>
      </w:r>
    </w:p>
    <w:p w14:paraId="1BC65364" w14:textId="77777777" w:rsidR="00741B6C" w:rsidRPr="00741B6C" w:rsidRDefault="00741B6C" w:rsidP="00741B6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41B6C">
        <w:rPr>
          <w:rFonts w:ascii="Times New Roman" w:eastAsia="Times New Roman" w:hAnsi="Times New Roman" w:cs="Times New Roman"/>
          <w:b/>
          <w:bCs/>
          <w:kern w:val="0"/>
          <w14:ligatures w14:val="none"/>
        </w:rPr>
        <w:t>Reconstitution &amp; Storage</w:t>
      </w:r>
      <w:r w:rsidRPr="00741B6C">
        <w:rPr>
          <w:rFonts w:ascii="Times New Roman" w:eastAsia="Times New Roman" w:hAnsi="Times New Roman" w:cs="Times New Roman"/>
          <w:kern w:val="0"/>
          <w14:ligatures w14:val="none"/>
        </w:rPr>
        <w:t xml:space="preserve"> (injectables only): Follow vial instructions (typically 2–3 mL bac water for standard 5 mg vials). Refrigerate reconstituted peptides; use within 30 days.</w:t>
      </w:r>
    </w:p>
    <w:p w14:paraId="2279EA36" w14:textId="77777777" w:rsidR="00741B6C" w:rsidRPr="00741B6C" w:rsidRDefault="00741B6C" w:rsidP="00741B6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41B6C">
        <w:rPr>
          <w:rFonts w:ascii="Times New Roman" w:eastAsia="Times New Roman" w:hAnsi="Times New Roman" w:cs="Times New Roman"/>
          <w:b/>
          <w:bCs/>
          <w:kern w:val="0"/>
          <w14:ligatures w14:val="none"/>
        </w:rPr>
        <w:t>Monitoring</w:t>
      </w:r>
      <w:r w:rsidRPr="00741B6C">
        <w:rPr>
          <w:rFonts w:ascii="Times New Roman" w:eastAsia="Times New Roman" w:hAnsi="Times New Roman" w:cs="Times New Roman"/>
          <w:kern w:val="0"/>
          <w14:ligatures w14:val="none"/>
        </w:rPr>
        <w:t>: Track symptoms (bloating, stool quality, energy, inflammation markers if lab-tested). Discontinue if any adverse effects occur.</w:t>
      </w:r>
    </w:p>
    <w:p w14:paraId="3A1AED03" w14:textId="77777777" w:rsidR="00741B6C" w:rsidRPr="00741B6C" w:rsidRDefault="00741B6C" w:rsidP="00741B6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41B6C">
        <w:rPr>
          <w:rFonts w:ascii="Times New Roman" w:eastAsia="Times New Roman" w:hAnsi="Times New Roman" w:cs="Times New Roman"/>
          <w:b/>
          <w:bCs/>
          <w:kern w:val="0"/>
          <w14:ligatures w14:val="none"/>
        </w:rPr>
        <w:t>Synergies &amp; Enhancers</w:t>
      </w:r>
      <w:r w:rsidRPr="00741B6C">
        <w:rPr>
          <w:rFonts w:ascii="Times New Roman" w:eastAsia="Times New Roman" w:hAnsi="Times New Roman" w:cs="Times New Roman"/>
          <w:kern w:val="0"/>
          <w14:ligatures w14:val="none"/>
        </w:rPr>
        <w:t>: These stack well with L-glutamine, zinc, or butyrate (non-peptide supports), but avoid NSAIDs/alcohol during use.</w:t>
      </w:r>
    </w:p>
    <w:p w14:paraId="36036C4C" w14:textId="77777777" w:rsidR="00741B6C" w:rsidRPr="00741B6C" w:rsidRDefault="00741B6C" w:rsidP="00741B6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41B6C">
        <w:rPr>
          <w:rFonts w:ascii="Times New Roman" w:eastAsia="Times New Roman" w:hAnsi="Times New Roman" w:cs="Times New Roman"/>
          <w:b/>
          <w:bCs/>
          <w:kern w:val="0"/>
          <w14:ligatures w14:val="none"/>
        </w:rPr>
        <w:t>Sourcing Note</w:t>
      </w:r>
      <w:r w:rsidRPr="00741B6C">
        <w:rPr>
          <w:rFonts w:ascii="Times New Roman" w:eastAsia="Times New Roman" w:hAnsi="Times New Roman" w:cs="Times New Roman"/>
          <w:kern w:val="0"/>
          <w14:ligatures w14:val="none"/>
        </w:rPr>
        <w:t>: Available only from licensed research peptide suppliers as research chemicals. Quality varies—third-party testing is essential.</w:t>
      </w:r>
    </w:p>
    <w:p w14:paraId="3C5E8224" w14:textId="77777777" w:rsidR="00741B6C" w:rsidRDefault="00741B6C" w:rsidP="00741B6C">
      <w:pPr>
        <w:spacing w:before="100" w:beforeAutospacing="1" w:after="100" w:afterAutospacing="1" w:line="240" w:lineRule="auto"/>
        <w:rPr>
          <w:rFonts w:ascii="Times New Roman" w:eastAsia="Times New Roman" w:hAnsi="Times New Roman" w:cs="Times New Roman"/>
          <w:kern w:val="0"/>
          <w14:ligatures w14:val="none"/>
        </w:rPr>
      </w:pPr>
      <w:r w:rsidRPr="00741B6C">
        <w:rPr>
          <w:rFonts w:ascii="Times New Roman" w:eastAsia="Times New Roman" w:hAnsi="Times New Roman" w:cs="Times New Roman"/>
          <w:kern w:val="0"/>
          <w14:ligatures w14:val="none"/>
        </w:rPr>
        <w:t xml:space="preserve">This protocol is flexible; adjust based on professional guidance. The 4-peptide stack (BPC-157 + KPV + TB-500 + GHK-Cu) is the most frequently referenced combination for balanced inflammation and gut health in available research contexts. If you have specific symptoms, current labs, or preferences (oral-only vs. injections), provide more details for refinements. </w:t>
      </w:r>
    </w:p>
    <w:p w14:paraId="20C267F4" w14:textId="77777777" w:rsidR="00D5080A" w:rsidRDefault="00D5080A" w:rsidP="00741B6C">
      <w:pPr>
        <w:spacing w:before="100" w:beforeAutospacing="1" w:after="100" w:afterAutospacing="1" w:line="240" w:lineRule="auto"/>
        <w:rPr>
          <w:rFonts w:ascii="Times New Roman" w:eastAsia="Times New Roman" w:hAnsi="Times New Roman" w:cs="Times New Roman"/>
          <w:kern w:val="0"/>
          <w14:ligatures w14:val="none"/>
        </w:rPr>
      </w:pPr>
    </w:p>
    <w:p w14:paraId="68D5FFDB" w14:textId="77777777" w:rsidR="00D5080A" w:rsidRPr="00741B6C" w:rsidRDefault="00D5080A" w:rsidP="00741B6C">
      <w:pPr>
        <w:spacing w:before="100" w:beforeAutospacing="1" w:after="100" w:afterAutospacing="1" w:line="240" w:lineRule="auto"/>
        <w:rPr>
          <w:rFonts w:ascii="Times New Roman" w:eastAsia="Times New Roman" w:hAnsi="Times New Roman" w:cs="Times New Roman"/>
          <w:kern w:val="0"/>
          <w14:ligatures w14:val="none"/>
        </w:rPr>
      </w:pPr>
    </w:p>
    <w:p w14:paraId="0A175EFE" w14:textId="72573240" w:rsidR="00741B6C" w:rsidRPr="00741B6C" w:rsidRDefault="00D5080A" w:rsidP="00D5080A">
      <w:pPr>
        <w:jc w:val="center"/>
        <w:rPr>
          <w:b/>
          <w:bCs/>
          <w:sz w:val="32"/>
          <w:szCs w:val="32"/>
        </w:rPr>
      </w:pPr>
      <w:r>
        <w:rPr>
          <w:b/>
          <w:bCs/>
          <w:noProof/>
          <w:sz w:val="32"/>
          <w:szCs w:val="32"/>
        </w:rPr>
        <w:drawing>
          <wp:inline distT="0" distB="0" distL="0" distR="0" wp14:anchorId="162FBDB5" wp14:editId="011EDD4E">
            <wp:extent cx="1193800" cy="1193800"/>
            <wp:effectExtent l="0" t="0" r="0" b="0"/>
            <wp:docPr id="332263555" name="Picture 2" descr="A qr code with a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63555" name="Picture 2" descr="A qr code with a blue logo&#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93800" cy="1193800"/>
                    </a:xfrm>
                    <a:prstGeom prst="rect">
                      <a:avLst/>
                    </a:prstGeom>
                  </pic:spPr>
                </pic:pic>
              </a:graphicData>
            </a:graphic>
          </wp:inline>
        </w:drawing>
      </w:r>
    </w:p>
    <w:sectPr w:rsidR="00741B6C" w:rsidRPr="00741B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45538"/>
    <w:multiLevelType w:val="multilevel"/>
    <w:tmpl w:val="353E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0B17F0"/>
    <w:multiLevelType w:val="multilevel"/>
    <w:tmpl w:val="FCDC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9659A7"/>
    <w:multiLevelType w:val="multilevel"/>
    <w:tmpl w:val="5AC8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03499D"/>
    <w:multiLevelType w:val="multilevel"/>
    <w:tmpl w:val="A0488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15000F"/>
    <w:multiLevelType w:val="multilevel"/>
    <w:tmpl w:val="ED1E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050175"/>
    <w:multiLevelType w:val="multilevel"/>
    <w:tmpl w:val="4CBE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7454">
    <w:abstractNumId w:val="3"/>
  </w:num>
  <w:num w:numId="2" w16cid:durableId="745998420">
    <w:abstractNumId w:val="2"/>
  </w:num>
  <w:num w:numId="3" w16cid:durableId="54746546">
    <w:abstractNumId w:val="4"/>
  </w:num>
  <w:num w:numId="4" w16cid:durableId="1070269420">
    <w:abstractNumId w:val="5"/>
  </w:num>
  <w:num w:numId="5" w16cid:durableId="1263998060">
    <w:abstractNumId w:val="1"/>
  </w:num>
  <w:num w:numId="6" w16cid:durableId="965159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B6C"/>
    <w:rsid w:val="00302877"/>
    <w:rsid w:val="00454EE1"/>
    <w:rsid w:val="00464CCB"/>
    <w:rsid w:val="00492F83"/>
    <w:rsid w:val="004C49F3"/>
    <w:rsid w:val="005D342C"/>
    <w:rsid w:val="00741B6C"/>
    <w:rsid w:val="00815C4D"/>
    <w:rsid w:val="00D5080A"/>
    <w:rsid w:val="00F57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9E3E27"/>
  <w15:chartTrackingRefBased/>
  <w15:docId w15:val="{B965C8B9-FFBC-C84D-958E-6A2F2CA72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B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1B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1B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41B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1B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1B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B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B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B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B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1B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1B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41B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1B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1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B6C"/>
    <w:rPr>
      <w:rFonts w:eastAsiaTheme="majorEastAsia" w:cstheme="majorBidi"/>
      <w:color w:val="272727" w:themeColor="text1" w:themeTint="D8"/>
    </w:rPr>
  </w:style>
  <w:style w:type="paragraph" w:styleId="Title">
    <w:name w:val="Title"/>
    <w:basedOn w:val="Normal"/>
    <w:next w:val="Normal"/>
    <w:link w:val="TitleChar"/>
    <w:uiPriority w:val="10"/>
    <w:qFormat/>
    <w:rsid w:val="00741B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B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B6C"/>
    <w:pPr>
      <w:spacing w:before="160"/>
      <w:jc w:val="center"/>
    </w:pPr>
    <w:rPr>
      <w:i/>
      <w:iCs/>
      <w:color w:val="404040" w:themeColor="text1" w:themeTint="BF"/>
    </w:rPr>
  </w:style>
  <w:style w:type="character" w:customStyle="1" w:styleId="QuoteChar">
    <w:name w:val="Quote Char"/>
    <w:basedOn w:val="DefaultParagraphFont"/>
    <w:link w:val="Quote"/>
    <w:uiPriority w:val="29"/>
    <w:rsid w:val="00741B6C"/>
    <w:rPr>
      <w:i/>
      <w:iCs/>
      <w:color w:val="404040" w:themeColor="text1" w:themeTint="BF"/>
    </w:rPr>
  </w:style>
  <w:style w:type="paragraph" w:styleId="ListParagraph">
    <w:name w:val="List Paragraph"/>
    <w:basedOn w:val="Normal"/>
    <w:uiPriority w:val="34"/>
    <w:qFormat/>
    <w:rsid w:val="00741B6C"/>
    <w:pPr>
      <w:ind w:left="720"/>
      <w:contextualSpacing/>
    </w:pPr>
  </w:style>
  <w:style w:type="character" w:styleId="IntenseEmphasis">
    <w:name w:val="Intense Emphasis"/>
    <w:basedOn w:val="DefaultParagraphFont"/>
    <w:uiPriority w:val="21"/>
    <w:qFormat/>
    <w:rsid w:val="00741B6C"/>
    <w:rPr>
      <w:i/>
      <w:iCs/>
      <w:color w:val="0F4761" w:themeColor="accent1" w:themeShade="BF"/>
    </w:rPr>
  </w:style>
  <w:style w:type="paragraph" w:styleId="IntenseQuote">
    <w:name w:val="Intense Quote"/>
    <w:basedOn w:val="Normal"/>
    <w:next w:val="Normal"/>
    <w:link w:val="IntenseQuoteChar"/>
    <w:uiPriority w:val="30"/>
    <w:qFormat/>
    <w:rsid w:val="00741B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B6C"/>
    <w:rPr>
      <w:i/>
      <w:iCs/>
      <w:color w:val="0F4761" w:themeColor="accent1" w:themeShade="BF"/>
    </w:rPr>
  </w:style>
  <w:style w:type="character" w:styleId="IntenseReference">
    <w:name w:val="Intense Reference"/>
    <w:basedOn w:val="DefaultParagraphFont"/>
    <w:uiPriority w:val="32"/>
    <w:qFormat/>
    <w:rsid w:val="00741B6C"/>
    <w:rPr>
      <w:b/>
      <w:bCs/>
      <w:smallCaps/>
      <w:color w:val="0F4761" w:themeColor="accent1" w:themeShade="BF"/>
      <w:spacing w:val="5"/>
    </w:rPr>
  </w:style>
  <w:style w:type="paragraph" w:styleId="NormalWeb">
    <w:name w:val="Normal (Web)"/>
    <w:basedOn w:val="Normal"/>
    <w:uiPriority w:val="99"/>
    <w:semiHidden/>
    <w:unhideWhenUsed/>
    <w:rsid w:val="00741B6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41B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833</Words>
  <Characters>4750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Moses</dc:creator>
  <cp:keywords/>
  <dc:description/>
  <cp:lastModifiedBy>Avery Moses</cp:lastModifiedBy>
  <cp:revision>1</cp:revision>
  <dcterms:created xsi:type="dcterms:W3CDTF">2026-03-06T02:58:00Z</dcterms:created>
  <dcterms:modified xsi:type="dcterms:W3CDTF">2026-03-06T03:13:00Z</dcterms:modified>
</cp:coreProperties>
</file>