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2CD81" w14:textId="64AD4C3D" w:rsidR="00BC7C1F" w:rsidRPr="00BC7C1F" w:rsidRDefault="00BC7C1F" w:rsidP="009224D5">
      <w:pPr>
        <w:shd w:val="clear" w:color="auto" w:fill="FFFFFF"/>
        <w:spacing w:after="300" w:line="360" w:lineRule="auto"/>
        <w:rPr>
          <w:rFonts w:ascii="Arial" w:eastAsia="Times New Roman" w:hAnsi="Arial" w:cs="Arial"/>
          <w:b/>
          <w:bCs/>
          <w:i/>
          <w:iCs/>
          <w:color w:val="000000"/>
          <w:kern w:val="0"/>
          <w:sz w:val="10"/>
          <w:szCs w:val="10"/>
          <w:u w:val="single"/>
          <w14:ligatures w14:val="none"/>
        </w:rPr>
      </w:pPr>
    </w:p>
    <w:p w14:paraId="0D1DBCC5" w14:textId="7B1678D9" w:rsidR="009224D5" w:rsidRPr="00BC7C1F" w:rsidRDefault="009224D5" w:rsidP="009224D5">
      <w:pPr>
        <w:shd w:val="clear" w:color="auto" w:fill="FFFFFF"/>
        <w:spacing w:after="300" w:line="360" w:lineRule="auto"/>
        <w:rPr>
          <w:rFonts w:ascii="Arial" w:eastAsia="Times New Roman" w:hAnsi="Arial" w:cs="Arial"/>
          <w:b/>
          <w:bCs/>
          <w:i/>
          <w:iCs/>
          <w:color w:val="000000"/>
          <w:kern w:val="0"/>
          <w:sz w:val="28"/>
          <w:szCs w:val="28"/>
          <w:u w:val="single"/>
          <w14:ligatures w14:val="none"/>
        </w:rPr>
      </w:pPr>
      <w:r w:rsidRPr="00BC7C1F">
        <w:rPr>
          <w:rFonts w:ascii="Arial" w:eastAsia="Times New Roman" w:hAnsi="Arial" w:cs="Arial"/>
          <w:b/>
          <w:bCs/>
          <w:i/>
          <w:iCs/>
          <w:color w:val="000000"/>
          <w:kern w:val="0"/>
          <w:sz w:val="28"/>
          <w:szCs w:val="28"/>
          <w:u w:val="single"/>
          <w14:ligatures w14:val="none"/>
        </w:rPr>
        <w:t>Title: Optimal Fat-Burning, Lean Muscle Building, and Mitochondrial Health Protocol</w:t>
      </w:r>
      <w:r w:rsidR="009306AA">
        <w:rPr>
          <w:rFonts w:ascii="Arial" w:eastAsia="Times New Roman" w:hAnsi="Arial" w:cs="Arial"/>
          <w:b/>
          <w:bCs/>
          <w:i/>
          <w:iCs/>
          <w:color w:val="000000"/>
          <w:kern w:val="0"/>
          <w:sz w:val="28"/>
          <w:szCs w:val="28"/>
          <w:u w:val="single"/>
          <w14:ligatures w14:val="none"/>
        </w:rPr>
        <w:t xml:space="preserve"> Summary</w:t>
      </w:r>
    </w:p>
    <w:p w14:paraId="488BA810" w14:textId="77777777" w:rsidR="0093055B" w:rsidRDefault="009224D5" w:rsidP="009224D5">
      <w:pPr>
        <w:shd w:val="clear" w:color="auto" w:fill="FFFFFF"/>
        <w:spacing w:after="300" w:line="360" w:lineRule="auto"/>
        <w:rPr>
          <w:rFonts w:ascii="Arial" w:eastAsia="Times New Roman" w:hAnsi="Arial" w:cs="Arial"/>
          <w:b/>
          <w:bCs/>
          <w:i/>
          <w:iCs/>
          <w:color w:val="000000"/>
          <w:kern w:val="0"/>
          <w14:ligatures w14:val="none"/>
        </w:rPr>
      </w:pPr>
      <w:r w:rsidRPr="00BC7C1F">
        <w:rPr>
          <w:rFonts w:ascii="Arial" w:eastAsia="Times New Roman" w:hAnsi="Arial" w:cs="Arial"/>
          <w:color w:val="000000"/>
          <w:kern w:val="0"/>
          <w14:ligatures w14:val="none"/>
        </w:rPr>
        <w:t xml:space="preserve">Abstract: This protocol outlines a comprehensive approach to optimizing fat burning, building lean muscle, and enhancing mitochondrial health </w:t>
      </w:r>
      <w:proofErr w:type="gramStart"/>
      <w:r w:rsidRPr="00BC7C1F">
        <w:rPr>
          <w:rFonts w:ascii="Arial" w:eastAsia="Times New Roman" w:hAnsi="Arial" w:cs="Arial"/>
          <w:color w:val="000000"/>
          <w:kern w:val="0"/>
          <w14:ligatures w14:val="none"/>
        </w:rPr>
        <w:t>through the use of</w:t>
      </w:r>
      <w:proofErr w:type="gramEnd"/>
      <w:r w:rsidRPr="00BC7C1F">
        <w:rPr>
          <w:rFonts w:ascii="Arial" w:eastAsia="Times New Roman" w:hAnsi="Arial" w:cs="Arial"/>
          <w:color w:val="000000"/>
          <w:kern w:val="0"/>
          <w14:ligatures w14:val="none"/>
        </w:rPr>
        <w:t xml:space="preserve"> various peptides and small molecules. It emphasizes the importance of a well-rounded lifestyle, including adequate sleep, nutrition, and exercise, alongside a detailed dosing regimen for each compound.</w:t>
      </w:r>
      <w:r w:rsidR="007D04AE">
        <w:rPr>
          <w:rFonts w:ascii="Arial" w:eastAsia="Times New Roman" w:hAnsi="Arial" w:cs="Arial"/>
          <w:b/>
          <w:bCs/>
          <w:i/>
          <w:iCs/>
          <w:color w:val="000000"/>
          <w:kern w:val="0"/>
          <w14:ligatures w14:val="none"/>
        </w:rPr>
        <w:t xml:space="preserve"> </w:t>
      </w:r>
    </w:p>
    <w:p w14:paraId="48DF8232" w14:textId="32177260" w:rsidR="009224D5" w:rsidRPr="007D04AE" w:rsidRDefault="007D04AE" w:rsidP="009224D5">
      <w:pPr>
        <w:shd w:val="clear" w:color="auto" w:fill="FFFFFF"/>
        <w:spacing w:after="300" w:line="360" w:lineRule="auto"/>
        <w:rPr>
          <w:rFonts w:ascii="Arial" w:eastAsia="Times New Roman" w:hAnsi="Arial" w:cs="Arial"/>
          <w:b/>
          <w:bCs/>
          <w:i/>
          <w:iCs/>
          <w:outline/>
          <w:color w:val="A02B93" w:themeColor="accent5"/>
          <w:kern w:val="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14:ligatures w14:val="none"/>
        </w:rPr>
      </w:pPr>
      <w:r>
        <w:rPr>
          <w:rFonts w:ascii="Arial" w:eastAsia="Times New Roman" w:hAnsi="Arial" w:cs="Arial"/>
          <w:b/>
          <w:bCs/>
          <w:i/>
          <w:iCs/>
          <w:color w:val="000000"/>
          <w:kern w:val="0"/>
          <w14:ligatures w14:val="none"/>
        </w:rPr>
        <w:t>All products and compounds discussed are intended exclusively for research and development purposes and are strictly not for human consumption or therapeutic use.  Many of these products</w:t>
      </w:r>
      <w:r w:rsidR="0093055B">
        <w:rPr>
          <w:rFonts w:ascii="Arial" w:eastAsia="Times New Roman" w:hAnsi="Arial" w:cs="Arial"/>
          <w:b/>
          <w:bCs/>
          <w:i/>
          <w:iCs/>
          <w:color w:val="000000"/>
          <w:kern w:val="0"/>
          <w14:ligatures w14:val="none"/>
        </w:rPr>
        <w:t xml:space="preserve"> are not approved by the U.S. Food and Drug Administration (FDA), and no statements in this purely research protocol have been evaluated by the FDA.  The information provided is not intended to diagnose, treat, cure, or prevent any disease or medical condition.</w:t>
      </w:r>
    </w:p>
    <w:p w14:paraId="41928D95" w14:textId="77777777" w:rsidR="009224D5" w:rsidRPr="00BC7C1F" w:rsidRDefault="009224D5" w:rsidP="009224D5">
      <w:pPr>
        <w:shd w:val="clear" w:color="auto" w:fill="FFFFFF"/>
        <w:spacing w:after="30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Introduction: The pursuit of optimal health and physical performance has led to increasing interest in the use of peptides and small molecules. This paper presents a structured protocol aiming to maximize fat loss while promoting muscle gain and mitochondrial health. The following sections detail the compounds involved, their mechanisms, dosing protocols, and associated benefits.</w:t>
      </w:r>
    </w:p>
    <w:p w14:paraId="2E4E69AB" w14:textId="77777777" w:rsidR="009224D5" w:rsidRPr="00BC7C1F" w:rsidRDefault="009224D5" w:rsidP="009224D5">
      <w:p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Peptides and Small Molecules in the Protocol:</w:t>
      </w:r>
    </w:p>
    <w:p w14:paraId="1138851D" w14:textId="77777777" w:rsidR="009224D5" w:rsidRPr="00BC7C1F" w:rsidRDefault="009224D5" w:rsidP="009224D5">
      <w:pPr>
        <w:numPr>
          <w:ilvl w:val="0"/>
          <w:numId w:val="1"/>
        </w:numPr>
        <w:shd w:val="clear" w:color="auto" w:fill="FFFFFF"/>
        <w:spacing w:after="0" w:line="360" w:lineRule="auto"/>
        <w:ind w:left="1020"/>
        <w:rPr>
          <w:rFonts w:ascii="Arial" w:eastAsia="Times New Roman" w:hAnsi="Arial" w:cs="Arial"/>
          <w:color w:val="000000"/>
          <w:kern w:val="0"/>
          <w14:ligatures w14:val="none"/>
        </w:rPr>
      </w:pPr>
      <w:proofErr w:type="spellStart"/>
      <w:r w:rsidRPr="00BC7C1F">
        <w:rPr>
          <w:rFonts w:ascii="Arial" w:eastAsia="Times New Roman" w:hAnsi="Arial" w:cs="Arial"/>
          <w:color w:val="000000"/>
          <w:kern w:val="0"/>
          <w14:ligatures w14:val="none"/>
        </w:rPr>
        <w:t>Retatrutide</w:t>
      </w:r>
      <w:proofErr w:type="spellEnd"/>
    </w:p>
    <w:p w14:paraId="405761A8" w14:textId="77777777" w:rsidR="009224D5" w:rsidRPr="00BC7C1F" w:rsidRDefault="009224D5" w:rsidP="009224D5">
      <w:pPr>
        <w:numPr>
          <w:ilvl w:val="0"/>
          <w:numId w:val="1"/>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CJC 1295 no DAC / Ipamorelin</w:t>
      </w:r>
    </w:p>
    <w:p w14:paraId="734A45BE" w14:textId="77777777" w:rsidR="009224D5" w:rsidRPr="00BC7C1F" w:rsidRDefault="009224D5" w:rsidP="009224D5">
      <w:pPr>
        <w:numPr>
          <w:ilvl w:val="0"/>
          <w:numId w:val="1"/>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GLOW (</w:t>
      </w:r>
      <w:proofErr w:type="spellStart"/>
      <w:r w:rsidRPr="00BC7C1F">
        <w:rPr>
          <w:rFonts w:ascii="Arial" w:eastAsia="Times New Roman" w:hAnsi="Arial" w:cs="Arial"/>
          <w:color w:val="000000"/>
          <w:kern w:val="0"/>
          <w14:ligatures w14:val="none"/>
        </w:rPr>
        <w:t>GHKCu</w:t>
      </w:r>
      <w:proofErr w:type="spellEnd"/>
      <w:r w:rsidRPr="00BC7C1F">
        <w:rPr>
          <w:rFonts w:ascii="Arial" w:eastAsia="Times New Roman" w:hAnsi="Arial" w:cs="Arial"/>
          <w:color w:val="000000"/>
          <w:kern w:val="0"/>
          <w14:ligatures w14:val="none"/>
        </w:rPr>
        <w:t>/BPC157/TB500)</w:t>
      </w:r>
    </w:p>
    <w:p w14:paraId="03627074" w14:textId="77777777" w:rsidR="009224D5" w:rsidRPr="00BC7C1F" w:rsidRDefault="009224D5" w:rsidP="009224D5">
      <w:pPr>
        <w:numPr>
          <w:ilvl w:val="0"/>
          <w:numId w:val="1"/>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SS-31 (</w:t>
      </w:r>
      <w:proofErr w:type="spellStart"/>
      <w:r w:rsidRPr="00BC7C1F">
        <w:rPr>
          <w:rFonts w:ascii="Arial" w:eastAsia="Times New Roman" w:hAnsi="Arial" w:cs="Arial"/>
          <w:color w:val="000000"/>
          <w:kern w:val="0"/>
          <w14:ligatures w14:val="none"/>
        </w:rPr>
        <w:t>Elamipretide</w:t>
      </w:r>
      <w:proofErr w:type="spellEnd"/>
      <w:r w:rsidRPr="00BC7C1F">
        <w:rPr>
          <w:rFonts w:ascii="Arial" w:eastAsia="Times New Roman" w:hAnsi="Arial" w:cs="Arial"/>
          <w:color w:val="000000"/>
          <w:kern w:val="0"/>
          <w14:ligatures w14:val="none"/>
        </w:rPr>
        <w:t>)</w:t>
      </w:r>
    </w:p>
    <w:p w14:paraId="7280D14D" w14:textId="77777777" w:rsidR="009224D5" w:rsidRPr="00BC7C1F" w:rsidRDefault="009224D5" w:rsidP="009224D5">
      <w:pPr>
        <w:numPr>
          <w:ilvl w:val="0"/>
          <w:numId w:val="1"/>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MOTS-C</w:t>
      </w:r>
    </w:p>
    <w:p w14:paraId="52EA7BE5" w14:textId="77777777" w:rsidR="009224D5" w:rsidRPr="00BC7C1F" w:rsidRDefault="009224D5" w:rsidP="009224D5">
      <w:pPr>
        <w:numPr>
          <w:ilvl w:val="0"/>
          <w:numId w:val="1"/>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5 Amino-1MQ</w:t>
      </w:r>
    </w:p>
    <w:p w14:paraId="089FE2E0" w14:textId="77777777" w:rsidR="009224D5" w:rsidRPr="00BC7C1F" w:rsidRDefault="009224D5" w:rsidP="009224D5">
      <w:pPr>
        <w:numPr>
          <w:ilvl w:val="0"/>
          <w:numId w:val="1"/>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SLU-PP-332</w:t>
      </w:r>
    </w:p>
    <w:p w14:paraId="78CF6751" w14:textId="77777777" w:rsidR="009224D5" w:rsidRPr="00BC7C1F" w:rsidRDefault="009224D5" w:rsidP="009224D5">
      <w:pPr>
        <w:numPr>
          <w:ilvl w:val="0"/>
          <w:numId w:val="1"/>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NAD+ (or NMN or Niacin)</w:t>
      </w:r>
    </w:p>
    <w:p w14:paraId="47BB7441" w14:textId="77777777" w:rsidR="009224D5" w:rsidRPr="00BC7C1F" w:rsidRDefault="009224D5" w:rsidP="009224D5">
      <w:pPr>
        <w:numPr>
          <w:ilvl w:val="0"/>
          <w:numId w:val="1"/>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lastRenderedPageBreak/>
        <w:t>L-Carnitine</w:t>
      </w:r>
    </w:p>
    <w:p w14:paraId="7D67B5C1" w14:textId="77777777" w:rsidR="009224D5" w:rsidRPr="00BC7C1F" w:rsidRDefault="009224D5" w:rsidP="009224D5">
      <w:pPr>
        <w:numPr>
          <w:ilvl w:val="0"/>
          <w:numId w:val="1"/>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Creatine Monohydrate</w:t>
      </w:r>
    </w:p>
    <w:p w14:paraId="0EB4ACA5" w14:textId="77777777" w:rsidR="009224D5" w:rsidRDefault="009224D5" w:rsidP="009224D5">
      <w:pPr>
        <w:numPr>
          <w:ilvl w:val="0"/>
          <w:numId w:val="1"/>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Tadalafil</w:t>
      </w:r>
    </w:p>
    <w:p w14:paraId="351E4581" w14:textId="3F66D18F" w:rsidR="007D04AE" w:rsidRPr="00BC7C1F" w:rsidRDefault="007D04AE" w:rsidP="009224D5">
      <w:pPr>
        <w:numPr>
          <w:ilvl w:val="0"/>
          <w:numId w:val="1"/>
        </w:numPr>
        <w:shd w:val="clear" w:color="auto" w:fill="FFFFFF"/>
        <w:spacing w:after="0" w:line="360" w:lineRule="auto"/>
        <w:ind w:left="1020"/>
        <w:rPr>
          <w:rFonts w:ascii="Arial" w:eastAsia="Times New Roman" w:hAnsi="Arial" w:cs="Arial"/>
          <w:color w:val="000000"/>
          <w:kern w:val="0"/>
          <w14:ligatures w14:val="none"/>
        </w:rPr>
      </w:pPr>
      <w:r>
        <w:rPr>
          <w:rFonts w:ascii="Arial" w:eastAsia="Times New Roman" w:hAnsi="Arial" w:cs="Arial"/>
          <w:color w:val="000000"/>
          <w:kern w:val="0"/>
          <w14:ligatures w14:val="none"/>
        </w:rPr>
        <w:t>Protein</w:t>
      </w:r>
    </w:p>
    <w:p w14:paraId="444FEF43" w14:textId="77777777" w:rsidR="009224D5" w:rsidRPr="00BC7C1F" w:rsidRDefault="009224D5" w:rsidP="009224D5">
      <w:pPr>
        <w:shd w:val="clear" w:color="auto" w:fill="FFFFFF"/>
        <w:spacing w:after="30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Methodology: Initiate the protocol slowly with one or two compounds to evaluate efficacy and side effects. Gradually add additional compounds until desired results align with predetermined goals. It is essential to complement this regimen with sufficient sleep, optimized nutrition, and a structured exercise program involving resistance training 3-4 times per week and cardiovascular training 2-3 times per week.</w:t>
      </w:r>
    </w:p>
    <w:p w14:paraId="499AB575" w14:textId="77777777" w:rsidR="009224D5" w:rsidRPr="00BC7C1F" w:rsidRDefault="009224D5" w:rsidP="009224D5">
      <w:pPr>
        <w:pStyle w:val="ListParagraph"/>
        <w:shd w:val="clear" w:color="auto" w:fill="FFFFFF"/>
        <w:spacing w:after="0" w:line="360" w:lineRule="auto"/>
        <w:rPr>
          <w:rFonts w:ascii="Arial" w:eastAsia="Times New Roman" w:hAnsi="Arial" w:cs="Arial"/>
          <w:b/>
          <w:bCs/>
          <w:color w:val="000000"/>
          <w:kern w:val="0"/>
          <w:sz w:val="32"/>
          <w:szCs w:val="32"/>
          <w:u w:val="single"/>
          <w14:ligatures w14:val="none"/>
        </w:rPr>
      </w:pPr>
      <w:r w:rsidRPr="00BC7C1F">
        <w:rPr>
          <w:rFonts w:ascii="Arial" w:eastAsia="Times New Roman" w:hAnsi="Arial" w:cs="Arial"/>
          <w:b/>
          <w:bCs/>
          <w:color w:val="000000"/>
          <w:kern w:val="0"/>
          <w:sz w:val="32"/>
          <w:szCs w:val="32"/>
          <w:u w:val="single"/>
          <w14:ligatures w14:val="none"/>
        </w:rPr>
        <w:t>Dosing Protocol Summary:</w:t>
      </w:r>
    </w:p>
    <w:p w14:paraId="4F30145B" w14:textId="77777777" w:rsidR="009224D5" w:rsidRPr="00BC7C1F" w:rsidRDefault="009224D5" w:rsidP="009224D5">
      <w:pPr>
        <w:numPr>
          <w:ilvl w:val="0"/>
          <w:numId w:val="2"/>
        </w:numPr>
        <w:shd w:val="clear" w:color="auto" w:fill="FFFFFF"/>
        <w:spacing w:after="0" w:line="360" w:lineRule="auto"/>
        <w:rPr>
          <w:rFonts w:ascii="Arial" w:eastAsia="Times New Roman" w:hAnsi="Arial" w:cs="Arial"/>
          <w:color w:val="000000"/>
          <w:kern w:val="0"/>
          <w14:ligatures w14:val="none"/>
        </w:rPr>
      </w:pPr>
      <w:proofErr w:type="spellStart"/>
      <w:r w:rsidRPr="00BC7C1F">
        <w:rPr>
          <w:rFonts w:ascii="Arial" w:eastAsia="Times New Roman" w:hAnsi="Arial" w:cs="Arial"/>
          <w:b/>
          <w:bCs/>
          <w:color w:val="000000"/>
          <w:kern w:val="0"/>
          <w14:ligatures w14:val="none"/>
        </w:rPr>
        <w:t>Retatrutide</w:t>
      </w:r>
      <w:proofErr w:type="spellEnd"/>
      <w:r w:rsidRPr="00BC7C1F">
        <w:rPr>
          <w:rFonts w:ascii="Arial" w:eastAsia="Times New Roman" w:hAnsi="Arial" w:cs="Arial"/>
          <w:color w:val="000000"/>
          <w:kern w:val="0"/>
          <w14:ligatures w14:val="none"/>
        </w:rPr>
        <w:t>:</w:t>
      </w:r>
    </w:p>
    <w:p w14:paraId="0289D283" w14:textId="77777777" w:rsidR="009224D5" w:rsidRPr="00BC7C1F"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Conservative: Start with 1 mg/week for four weeks, then increase by 0.5 mg per week for four weeks. Optimal dose: 2-8 mg/week.</w:t>
      </w:r>
    </w:p>
    <w:p w14:paraId="7C5D8AD5" w14:textId="77777777" w:rsidR="009224D5" w:rsidRPr="00BC7C1F"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Aggressive: Begin at 2 mg/week, increasing every four weeks by 0.5-1 mg up to 4-12 mg/week.</w:t>
      </w:r>
    </w:p>
    <w:p w14:paraId="2BA403C5" w14:textId="77777777" w:rsidR="009224D5" w:rsidRPr="00BC7C1F" w:rsidRDefault="009224D5" w:rsidP="009224D5">
      <w:pPr>
        <w:numPr>
          <w:ilvl w:val="0"/>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CJC 1295 no DAC with Ipamorelin</w:t>
      </w:r>
      <w:r w:rsidRPr="00BC7C1F">
        <w:rPr>
          <w:rFonts w:ascii="Arial" w:eastAsia="Times New Roman" w:hAnsi="Arial" w:cs="Arial"/>
          <w:color w:val="000000"/>
          <w:kern w:val="0"/>
          <w14:ligatures w14:val="none"/>
        </w:rPr>
        <w:t>:</w:t>
      </w:r>
    </w:p>
    <w:p w14:paraId="4E3166AC" w14:textId="547C69A3" w:rsidR="009224D5" w:rsidRPr="00BC7C1F"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Conservative: 300 micrograms each evening for 8-12 weeks, with a 4-8 week off period. Must be taken in a fasted state</w:t>
      </w:r>
      <w:r w:rsidR="00AC5A08">
        <w:rPr>
          <w:rFonts w:ascii="Arial" w:eastAsia="Times New Roman" w:hAnsi="Arial" w:cs="Arial"/>
          <w:color w:val="000000"/>
          <w:kern w:val="0"/>
          <w14:ligatures w14:val="none"/>
        </w:rPr>
        <w:t>: 2 hours fasted prior to injection and 30 minutes fasted after injection</w:t>
      </w:r>
    </w:p>
    <w:p w14:paraId="583CA09C" w14:textId="77777777" w:rsidR="009224D5" w:rsidRPr="00BC7C1F"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 xml:space="preserve">Focus on fat burning: Split dosing of 150-200 micrograms </w:t>
      </w:r>
      <w:r w:rsidRPr="00AC5A08">
        <w:rPr>
          <w:rFonts w:ascii="Arial" w:eastAsia="Times New Roman" w:hAnsi="Arial" w:cs="Arial"/>
          <w:i/>
          <w:iCs/>
          <w:color w:val="000000"/>
          <w:kern w:val="0"/>
          <w14:ligatures w14:val="none"/>
        </w:rPr>
        <w:t>pre-workout</w:t>
      </w:r>
      <w:r w:rsidRPr="00BC7C1F">
        <w:rPr>
          <w:rFonts w:ascii="Arial" w:eastAsia="Times New Roman" w:hAnsi="Arial" w:cs="Arial"/>
          <w:color w:val="000000"/>
          <w:kern w:val="0"/>
          <w14:ligatures w14:val="none"/>
        </w:rPr>
        <w:t xml:space="preserve"> and an additional 150-200 micrograms at night.</w:t>
      </w:r>
    </w:p>
    <w:p w14:paraId="28EA6F7E" w14:textId="77777777" w:rsidR="009224D5"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 xml:space="preserve">Focus on muscle building: Similar split dosing </w:t>
      </w:r>
      <w:r w:rsidRPr="00AC5A08">
        <w:rPr>
          <w:rFonts w:ascii="Arial" w:eastAsia="Times New Roman" w:hAnsi="Arial" w:cs="Arial"/>
          <w:i/>
          <w:iCs/>
          <w:color w:val="000000"/>
          <w:kern w:val="0"/>
          <w14:ligatures w14:val="none"/>
        </w:rPr>
        <w:t>after</w:t>
      </w:r>
      <w:r w:rsidRPr="00BC7C1F">
        <w:rPr>
          <w:rFonts w:ascii="Arial" w:eastAsia="Times New Roman" w:hAnsi="Arial" w:cs="Arial"/>
          <w:color w:val="000000"/>
          <w:kern w:val="0"/>
          <w14:ligatures w14:val="none"/>
        </w:rPr>
        <w:t xml:space="preserve"> strength workouts.</w:t>
      </w:r>
    </w:p>
    <w:p w14:paraId="003E93EC" w14:textId="0FC62C02" w:rsidR="00D85F3F" w:rsidRPr="00BC7C1F" w:rsidRDefault="00D85F3F" w:rsidP="009224D5">
      <w:pPr>
        <w:numPr>
          <w:ilvl w:val="1"/>
          <w:numId w:val="2"/>
        </w:numPr>
        <w:shd w:val="clear" w:color="auto" w:fill="FFFFFF"/>
        <w:spacing w:after="0" w:line="360" w:lineRule="auto"/>
        <w:rPr>
          <w:rFonts w:ascii="Arial" w:eastAsia="Times New Roman" w:hAnsi="Arial" w:cs="Arial"/>
          <w:color w:val="000000"/>
          <w:kern w:val="0"/>
          <w14:ligatures w14:val="none"/>
        </w:rPr>
      </w:pPr>
      <w:r>
        <w:rPr>
          <w:rFonts w:ascii="Arial" w:eastAsia="Times New Roman" w:hAnsi="Arial" w:cs="Arial"/>
          <w:b/>
          <w:bCs/>
          <w:i/>
          <w:iCs/>
          <w:color w:val="000000"/>
          <w:kern w:val="0"/>
          <w:u w:val="single"/>
          <w14:ligatures w14:val="none"/>
        </w:rPr>
        <w:t>DO NOT TAKE CJC1295/IPA, TESAMORELIN, GHRP-6, GHRP-2, SERMORELIN, IGF-LR3, HGH(GH), OR ANY GROWTH HORMONE SECRETAGOGUES IF YOU HAVE A HISTORY OF CANCER.</w:t>
      </w:r>
    </w:p>
    <w:p w14:paraId="44C4010D" w14:textId="77777777" w:rsidR="009224D5" w:rsidRPr="00BC7C1F" w:rsidRDefault="009224D5" w:rsidP="009224D5">
      <w:pPr>
        <w:numPr>
          <w:ilvl w:val="0"/>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GLOW Dosing Protocol</w:t>
      </w:r>
      <w:r w:rsidRPr="00BC7C1F">
        <w:rPr>
          <w:rFonts w:ascii="Arial" w:eastAsia="Times New Roman" w:hAnsi="Arial" w:cs="Arial"/>
          <w:color w:val="000000"/>
          <w:kern w:val="0"/>
          <w14:ligatures w14:val="none"/>
        </w:rPr>
        <w:t>:</w:t>
      </w:r>
    </w:p>
    <w:p w14:paraId="2E69261E" w14:textId="77777777" w:rsidR="009224D5" w:rsidRPr="00BC7C1F"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Mild injury/maintenance: 500 micrograms daily.</w:t>
      </w:r>
    </w:p>
    <w:p w14:paraId="12E810F0" w14:textId="77777777" w:rsidR="009224D5" w:rsidRPr="00BC7C1F"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Acute injury/wound healing: 1-2 mg daily, cycling 12 weeks on, 4 weeks off.</w:t>
      </w:r>
    </w:p>
    <w:p w14:paraId="6BDE77F7" w14:textId="77777777" w:rsidR="009224D5" w:rsidRPr="00BC7C1F" w:rsidRDefault="009224D5" w:rsidP="009224D5">
      <w:pPr>
        <w:numPr>
          <w:ilvl w:val="0"/>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SS-31 Dosing Protocol</w:t>
      </w:r>
      <w:r w:rsidRPr="00BC7C1F">
        <w:rPr>
          <w:rFonts w:ascii="Arial" w:eastAsia="Times New Roman" w:hAnsi="Arial" w:cs="Arial"/>
          <w:color w:val="000000"/>
          <w:kern w:val="0"/>
          <w14:ligatures w14:val="none"/>
        </w:rPr>
        <w:t>:</w:t>
      </w:r>
    </w:p>
    <w:p w14:paraId="50AD2216" w14:textId="77777777" w:rsidR="009224D5" w:rsidRPr="00BC7C1F"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lastRenderedPageBreak/>
        <w:t>Begin at 500 micrograms daily for one week, then increase to 1 mg daily for 4-6 weeks.</w:t>
      </w:r>
    </w:p>
    <w:p w14:paraId="1D017A4A" w14:textId="77777777" w:rsidR="009224D5" w:rsidRPr="00BC7C1F" w:rsidRDefault="009224D5" w:rsidP="009224D5">
      <w:pPr>
        <w:numPr>
          <w:ilvl w:val="0"/>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MOTS-C Dosing Protocol</w:t>
      </w:r>
      <w:r w:rsidRPr="00BC7C1F">
        <w:rPr>
          <w:rFonts w:ascii="Arial" w:eastAsia="Times New Roman" w:hAnsi="Arial" w:cs="Arial"/>
          <w:color w:val="000000"/>
          <w:kern w:val="0"/>
          <w14:ligatures w14:val="none"/>
        </w:rPr>
        <w:t>:</w:t>
      </w:r>
    </w:p>
    <w:p w14:paraId="5CBD299F" w14:textId="77777777" w:rsidR="009224D5" w:rsidRPr="00BC7C1F"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Weeks 1-2: 500 micrograms daily.</w:t>
      </w:r>
    </w:p>
    <w:p w14:paraId="5FF29034" w14:textId="77777777" w:rsidR="009224D5"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Weeks 3+: 1 mg daily.</w:t>
      </w:r>
    </w:p>
    <w:p w14:paraId="1FE1AC31" w14:textId="17F58BF7" w:rsidR="00CB1A8E" w:rsidRPr="00BC7C1F" w:rsidRDefault="00CB1A8E" w:rsidP="009224D5">
      <w:pPr>
        <w:numPr>
          <w:ilvl w:val="1"/>
          <w:numId w:val="2"/>
        </w:numPr>
        <w:shd w:val="clear" w:color="auto" w:fill="FFFFFF"/>
        <w:spacing w:after="0" w:line="360" w:lineRule="auto"/>
        <w:rPr>
          <w:rFonts w:ascii="Arial" w:eastAsia="Times New Roman" w:hAnsi="Arial" w:cs="Arial"/>
          <w:color w:val="000000"/>
          <w:kern w:val="0"/>
          <w14:ligatures w14:val="none"/>
        </w:rPr>
      </w:pPr>
      <w:proofErr w:type="spellStart"/>
      <w:r>
        <w:rPr>
          <w:rFonts w:ascii="Arial" w:eastAsia="Times New Roman" w:hAnsi="Arial" w:cs="Arial"/>
          <w:color w:val="000000"/>
          <w:kern w:val="0"/>
          <w14:ligatures w14:val="none"/>
        </w:rPr>
        <w:t>Altertnative</w:t>
      </w:r>
      <w:proofErr w:type="spellEnd"/>
      <w:r>
        <w:rPr>
          <w:rFonts w:ascii="Arial" w:eastAsia="Times New Roman" w:hAnsi="Arial" w:cs="Arial"/>
          <w:color w:val="000000"/>
          <w:kern w:val="0"/>
          <w14:ligatures w14:val="none"/>
        </w:rPr>
        <w:t xml:space="preserve"> dosing: 3-5mg 3x/week</w:t>
      </w:r>
    </w:p>
    <w:p w14:paraId="7792F3C1" w14:textId="77777777" w:rsidR="009224D5" w:rsidRPr="00BC7C1F" w:rsidRDefault="009224D5" w:rsidP="009224D5">
      <w:pPr>
        <w:numPr>
          <w:ilvl w:val="0"/>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5 Amino-1MQ Dosing Protocol</w:t>
      </w:r>
      <w:r w:rsidRPr="00BC7C1F">
        <w:rPr>
          <w:rFonts w:ascii="Arial" w:eastAsia="Times New Roman" w:hAnsi="Arial" w:cs="Arial"/>
          <w:color w:val="000000"/>
          <w:kern w:val="0"/>
          <w14:ligatures w14:val="none"/>
        </w:rPr>
        <w:t>:</w:t>
      </w:r>
    </w:p>
    <w:p w14:paraId="5B9E1D49" w14:textId="77777777" w:rsidR="009224D5" w:rsidRPr="00BC7C1F"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Weeks 1-4: 50 mg daily.</w:t>
      </w:r>
    </w:p>
    <w:p w14:paraId="5BD66231" w14:textId="77777777" w:rsidR="009224D5" w:rsidRPr="00BC7C1F"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Weeks 5-8: 100 mg daily.</w:t>
      </w:r>
    </w:p>
    <w:p w14:paraId="4A81E87D" w14:textId="77777777" w:rsidR="009224D5" w:rsidRPr="00BC7C1F"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Weeks 8-12: Maintain or increase to 100 mg twice daily.</w:t>
      </w:r>
    </w:p>
    <w:p w14:paraId="74C0D275" w14:textId="77777777" w:rsidR="009224D5" w:rsidRPr="00BC7C1F" w:rsidRDefault="009224D5" w:rsidP="009224D5">
      <w:pPr>
        <w:numPr>
          <w:ilvl w:val="0"/>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SLU-PP-332 Dosing Protocol</w:t>
      </w:r>
      <w:r w:rsidRPr="00BC7C1F">
        <w:rPr>
          <w:rFonts w:ascii="Arial" w:eastAsia="Times New Roman" w:hAnsi="Arial" w:cs="Arial"/>
          <w:color w:val="000000"/>
          <w:kern w:val="0"/>
          <w14:ligatures w14:val="none"/>
        </w:rPr>
        <w:t>:</w:t>
      </w:r>
    </w:p>
    <w:p w14:paraId="2456C48C" w14:textId="77777777" w:rsidR="009224D5" w:rsidRPr="00BC7C1F"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500 micrograms daily for 12 weeks, then cycle off for 4-6 weeks.</w:t>
      </w:r>
    </w:p>
    <w:p w14:paraId="2FBEF3DF" w14:textId="77777777" w:rsidR="009224D5" w:rsidRPr="00BC7C1F" w:rsidRDefault="009224D5" w:rsidP="009224D5">
      <w:pPr>
        <w:numPr>
          <w:ilvl w:val="0"/>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NAD+ Dosing Protocol</w:t>
      </w:r>
      <w:r w:rsidRPr="00BC7C1F">
        <w:rPr>
          <w:rFonts w:ascii="Arial" w:eastAsia="Times New Roman" w:hAnsi="Arial" w:cs="Arial"/>
          <w:color w:val="000000"/>
          <w:kern w:val="0"/>
          <w14:ligatures w14:val="none"/>
        </w:rPr>
        <w:t>:</w:t>
      </w:r>
    </w:p>
    <w:p w14:paraId="4B9E70A7" w14:textId="77777777" w:rsidR="009224D5" w:rsidRPr="00BC7C1F"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Injection IM of 50-100 mg over 1-3 weeks, cycling off and repeating 3-4 times per year.</w:t>
      </w:r>
    </w:p>
    <w:p w14:paraId="0716713F" w14:textId="00A4D6E4" w:rsidR="009224D5" w:rsidRPr="00BC7C1F"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Alternative NAD+ protocol:</w:t>
      </w:r>
    </w:p>
    <w:p w14:paraId="18548AD1" w14:textId="77777777" w:rsidR="009224D5" w:rsidRPr="00BC7C1F" w:rsidRDefault="009224D5" w:rsidP="009224D5">
      <w:pPr>
        <w:pStyle w:val="ListParagraph"/>
        <w:numPr>
          <w:ilvl w:val="2"/>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NMN Dosing Protocol</w:t>
      </w:r>
      <w:r w:rsidRPr="00BC7C1F">
        <w:rPr>
          <w:rFonts w:ascii="Arial" w:eastAsia="Times New Roman" w:hAnsi="Arial" w:cs="Arial"/>
          <w:color w:val="000000"/>
          <w:kern w:val="0"/>
          <w14:ligatures w14:val="none"/>
        </w:rPr>
        <w:t>:</w:t>
      </w:r>
    </w:p>
    <w:p w14:paraId="7E5E26B9" w14:textId="77777777" w:rsidR="009224D5" w:rsidRPr="00BC7C1F" w:rsidRDefault="009224D5" w:rsidP="009224D5">
      <w:pPr>
        <w:numPr>
          <w:ilvl w:val="1"/>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Oral dosing of 250-500 mg daily, ideally fasted or pre-workout.</w:t>
      </w:r>
    </w:p>
    <w:p w14:paraId="7D008D40" w14:textId="77777777" w:rsidR="009224D5" w:rsidRPr="00BC7C1F" w:rsidRDefault="009224D5" w:rsidP="009224D5">
      <w:pPr>
        <w:pStyle w:val="ListParagraph"/>
        <w:numPr>
          <w:ilvl w:val="2"/>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Niacin Dosing Protocol</w:t>
      </w:r>
      <w:r w:rsidRPr="00BC7C1F">
        <w:rPr>
          <w:rFonts w:ascii="Arial" w:eastAsia="Times New Roman" w:hAnsi="Arial" w:cs="Arial"/>
          <w:color w:val="000000"/>
          <w:kern w:val="0"/>
          <w14:ligatures w14:val="none"/>
        </w:rPr>
        <w:t>:</w:t>
      </w:r>
    </w:p>
    <w:p w14:paraId="1937CECE" w14:textId="02F3D58E" w:rsidR="009224D5" w:rsidRPr="00BC7C1F" w:rsidRDefault="009224D5" w:rsidP="009224D5">
      <w:pPr>
        <w:shd w:val="clear" w:color="auto" w:fill="FFFFFF"/>
        <w:spacing w:after="0" w:line="360" w:lineRule="auto"/>
        <w:ind w:left="720"/>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t xml:space="preserve">             Recommended dosing of 750-1,000 mg daily.</w:t>
      </w:r>
    </w:p>
    <w:p w14:paraId="0D0586BC" w14:textId="0CBF9BD1" w:rsidR="009224D5" w:rsidRPr="00BC7C1F" w:rsidRDefault="009224D5" w:rsidP="009224D5">
      <w:pPr>
        <w:pStyle w:val="ListParagraph"/>
        <w:numPr>
          <w:ilvl w:val="0"/>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L-Carnitine Dosing Protocol</w:t>
      </w:r>
      <w:r w:rsidRPr="00BC7C1F">
        <w:rPr>
          <w:rFonts w:ascii="Arial" w:eastAsia="Times New Roman" w:hAnsi="Arial" w:cs="Arial"/>
          <w:color w:val="000000"/>
          <w:kern w:val="0"/>
          <w14:ligatures w14:val="none"/>
        </w:rPr>
        <w:t>:</w:t>
      </w:r>
    </w:p>
    <w:p w14:paraId="280EA23B" w14:textId="77777777" w:rsidR="009224D5" w:rsidRPr="007D04AE" w:rsidRDefault="009224D5" w:rsidP="007D04AE">
      <w:pPr>
        <w:pStyle w:val="ListParagraph"/>
        <w:numPr>
          <w:ilvl w:val="0"/>
          <w:numId w:val="12"/>
        </w:numPr>
        <w:shd w:val="clear" w:color="auto" w:fill="FFFFFF"/>
        <w:spacing w:after="0" w:line="360" w:lineRule="auto"/>
        <w:rPr>
          <w:rFonts w:ascii="Arial" w:eastAsia="Times New Roman" w:hAnsi="Arial" w:cs="Arial"/>
          <w:color w:val="000000"/>
          <w:kern w:val="0"/>
          <w14:ligatures w14:val="none"/>
        </w:rPr>
      </w:pPr>
      <w:r w:rsidRPr="007D04AE">
        <w:rPr>
          <w:rFonts w:ascii="Arial" w:eastAsia="Times New Roman" w:hAnsi="Arial" w:cs="Arial"/>
          <w:color w:val="000000"/>
          <w:kern w:val="0"/>
          <w14:ligatures w14:val="none"/>
        </w:rPr>
        <w:t>200-500 mg IM pre-workout, or 2000 mg orally with meals.</w:t>
      </w:r>
    </w:p>
    <w:p w14:paraId="5472734B" w14:textId="5601D15A" w:rsidR="009224D5" w:rsidRPr="00BC7C1F" w:rsidRDefault="009224D5" w:rsidP="009224D5">
      <w:pPr>
        <w:pStyle w:val="ListParagraph"/>
        <w:numPr>
          <w:ilvl w:val="0"/>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Creatine Dosing Protocol</w:t>
      </w:r>
      <w:r w:rsidRPr="00BC7C1F">
        <w:rPr>
          <w:rFonts w:ascii="Arial" w:eastAsia="Times New Roman" w:hAnsi="Arial" w:cs="Arial"/>
          <w:color w:val="000000"/>
          <w:kern w:val="0"/>
          <w14:ligatures w14:val="none"/>
        </w:rPr>
        <w:t>:</w:t>
      </w:r>
    </w:p>
    <w:p w14:paraId="45BDF77C" w14:textId="77777777" w:rsidR="009224D5" w:rsidRPr="007D04AE" w:rsidRDefault="009224D5" w:rsidP="007D04AE">
      <w:pPr>
        <w:pStyle w:val="ListParagraph"/>
        <w:numPr>
          <w:ilvl w:val="0"/>
          <w:numId w:val="12"/>
        </w:numPr>
        <w:shd w:val="clear" w:color="auto" w:fill="FFFFFF"/>
        <w:spacing w:after="0" w:line="360" w:lineRule="auto"/>
        <w:rPr>
          <w:rFonts w:ascii="Arial" w:eastAsia="Times New Roman" w:hAnsi="Arial" w:cs="Arial"/>
          <w:color w:val="000000"/>
          <w:kern w:val="0"/>
          <w14:ligatures w14:val="none"/>
        </w:rPr>
      </w:pPr>
      <w:r w:rsidRPr="007D04AE">
        <w:rPr>
          <w:rFonts w:ascii="Arial" w:eastAsia="Times New Roman" w:hAnsi="Arial" w:cs="Arial"/>
          <w:color w:val="000000"/>
          <w:kern w:val="0"/>
          <w14:ligatures w14:val="none"/>
        </w:rPr>
        <w:t>5-10 grams dissolved in water daily.</w:t>
      </w:r>
    </w:p>
    <w:p w14:paraId="23CC37D3" w14:textId="13485530" w:rsidR="009224D5" w:rsidRDefault="009224D5" w:rsidP="009224D5">
      <w:pPr>
        <w:pStyle w:val="ListParagraph"/>
        <w:numPr>
          <w:ilvl w:val="0"/>
          <w:numId w:val="2"/>
        </w:num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Tadalafil Dosing Protocol</w:t>
      </w:r>
      <w:r w:rsidRPr="00BC7C1F">
        <w:rPr>
          <w:rFonts w:ascii="Arial" w:eastAsia="Times New Roman" w:hAnsi="Arial" w:cs="Arial"/>
          <w:color w:val="000000"/>
          <w:kern w:val="0"/>
          <w14:ligatures w14:val="none"/>
        </w:rPr>
        <w:t>:</w:t>
      </w:r>
    </w:p>
    <w:p w14:paraId="0D02F9EB" w14:textId="68EEE3C5" w:rsidR="007D04AE" w:rsidRDefault="007D04AE" w:rsidP="007D04AE">
      <w:pPr>
        <w:pStyle w:val="ListParagraph"/>
        <w:numPr>
          <w:ilvl w:val="0"/>
          <w:numId w:val="11"/>
        </w:numPr>
        <w:shd w:val="clear" w:color="auto" w:fill="FFFFFF"/>
        <w:spacing w:after="0" w:line="36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5mg oral daily</w:t>
      </w:r>
    </w:p>
    <w:p w14:paraId="1C0BFF98" w14:textId="77777777" w:rsidR="0093055B" w:rsidRDefault="0093055B" w:rsidP="0093055B">
      <w:pPr>
        <w:pStyle w:val="ListParagraph"/>
        <w:shd w:val="clear" w:color="auto" w:fill="FFFFFF"/>
        <w:spacing w:after="0" w:line="360" w:lineRule="auto"/>
        <w:ind w:left="1440"/>
        <w:rPr>
          <w:rFonts w:ascii="Arial" w:eastAsia="Times New Roman" w:hAnsi="Arial" w:cs="Arial"/>
          <w:color w:val="000000"/>
          <w:kern w:val="0"/>
          <w14:ligatures w14:val="none"/>
        </w:rPr>
      </w:pPr>
    </w:p>
    <w:p w14:paraId="2C986086" w14:textId="07D6631B" w:rsidR="007D04AE" w:rsidRPr="007D04AE" w:rsidRDefault="007D04AE" w:rsidP="009224D5">
      <w:pPr>
        <w:pStyle w:val="ListParagraph"/>
        <w:numPr>
          <w:ilvl w:val="0"/>
          <w:numId w:val="2"/>
        </w:numPr>
        <w:shd w:val="clear" w:color="auto" w:fill="FFFFFF"/>
        <w:spacing w:after="0" w:line="360" w:lineRule="auto"/>
        <w:rPr>
          <w:rFonts w:ascii="Arial" w:eastAsia="Times New Roman" w:hAnsi="Arial" w:cs="Arial"/>
          <w:color w:val="000000"/>
          <w:kern w:val="0"/>
          <w14:ligatures w14:val="none"/>
        </w:rPr>
      </w:pPr>
      <w:r>
        <w:rPr>
          <w:rFonts w:ascii="Arial" w:eastAsia="Times New Roman" w:hAnsi="Arial" w:cs="Arial"/>
          <w:b/>
          <w:bCs/>
          <w:color w:val="000000"/>
          <w:kern w:val="0"/>
          <w14:ligatures w14:val="none"/>
        </w:rPr>
        <w:t>Protein</w:t>
      </w:r>
    </w:p>
    <w:p w14:paraId="66B00CAD" w14:textId="5E567234" w:rsidR="007D04AE" w:rsidRDefault="007D04AE" w:rsidP="007D04AE">
      <w:pPr>
        <w:pStyle w:val="ListParagraph"/>
        <w:numPr>
          <w:ilvl w:val="0"/>
          <w:numId w:val="11"/>
        </w:numPr>
        <w:shd w:val="clear" w:color="auto" w:fill="FFFFFF"/>
        <w:spacing w:after="0" w:line="36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1g per body weight per day</w:t>
      </w:r>
    </w:p>
    <w:p w14:paraId="057ABA24" w14:textId="77777777" w:rsidR="007D04AE" w:rsidRPr="007D04AE" w:rsidRDefault="007D04AE" w:rsidP="007D04AE">
      <w:pPr>
        <w:shd w:val="clear" w:color="auto" w:fill="FFFFFF"/>
        <w:spacing w:after="0" w:line="360" w:lineRule="auto"/>
        <w:ind w:left="360"/>
        <w:rPr>
          <w:rFonts w:ascii="Arial" w:eastAsia="Times New Roman" w:hAnsi="Arial" w:cs="Arial"/>
          <w:color w:val="000000"/>
          <w:kern w:val="0"/>
          <w14:ligatures w14:val="none"/>
        </w:rPr>
      </w:pPr>
    </w:p>
    <w:p w14:paraId="798C67EE" w14:textId="77777777" w:rsidR="007D04AE" w:rsidRDefault="007D04AE" w:rsidP="009224D5">
      <w:pPr>
        <w:shd w:val="clear" w:color="auto" w:fill="FFFFFF"/>
        <w:spacing w:after="0" w:line="360" w:lineRule="auto"/>
        <w:rPr>
          <w:rFonts w:ascii="Arial" w:eastAsia="Times New Roman" w:hAnsi="Arial" w:cs="Arial"/>
          <w:color w:val="000000"/>
          <w:kern w:val="0"/>
          <w14:ligatures w14:val="none"/>
        </w:rPr>
      </w:pPr>
    </w:p>
    <w:p w14:paraId="7A93F6C4" w14:textId="3323A562" w:rsidR="009224D5" w:rsidRPr="00BC7C1F" w:rsidRDefault="009224D5" w:rsidP="009224D5">
      <w:pPr>
        <w:shd w:val="clear" w:color="auto" w:fill="FFFFFF"/>
        <w:spacing w:after="0" w:line="360" w:lineRule="auto"/>
        <w:rPr>
          <w:rFonts w:ascii="Arial" w:eastAsia="Times New Roman" w:hAnsi="Arial" w:cs="Arial"/>
          <w:color w:val="000000"/>
          <w:kern w:val="0"/>
          <w14:ligatures w14:val="none"/>
        </w:rPr>
      </w:pPr>
      <w:r w:rsidRPr="00BC7C1F">
        <w:rPr>
          <w:rFonts w:ascii="Arial" w:eastAsia="Times New Roman" w:hAnsi="Arial" w:cs="Arial"/>
          <w:color w:val="000000"/>
          <w:kern w:val="0"/>
          <w14:ligatures w14:val="none"/>
        </w:rPr>
        <w:lastRenderedPageBreak/>
        <w:t>Discussion on Compounds:</w:t>
      </w:r>
    </w:p>
    <w:p w14:paraId="196EAAD3" w14:textId="77777777" w:rsidR="009224D5" w:rsidRPr="00BC7C1F" w:rsidRDefault="009224D5" w:rsidP="009224D5">
      <w:pPr>
        <w:numPr>
          <w:ilvl w:val="0"/>
          <w:numId w:val="10"/>
        </w:numPr>
        <w:shd w:val="clear" w:color="auto" w:fill="FFFFFF"/>
        <w:spacing w:after="0" w:line="360" w:lineRule="auto"/>
        <w:ind w:left="1020"/>
        <w:rPr>
          <w:rFonts w:ascii="Arial" w:eastAsia="Times New Roman" w:hAnsi="Arial" w:cs="Arial"/>
          <w:color w:val="000000"/>
          <w:kern w:val="0"/>
          <w14:ligatures w14:val="none"/>
        </w:rPr>
      </w:pPr>
      <w:proofErr w:type="spellStart"/>
      <w:r w:rsidRPr="00BC7C1F">
        <w:rPr>
          <w:rFonts w:ascii="Arial" w:eastAsia="Times New Roman" w:hAnsi="Arial" w:cs="Arial"/>
          <w:b/>
          <w:bCs/>
          <w:color w:val="000000"/>
          <w:kern w:val="0"/>
          <w14:ligatures w14:val="none"/>
        </w:rPr>
        <w:t>Retatrutide</w:t>
      </w:r>
      <w:proofErr w:type="spellEnd"/>
      <w:r w:rsidRPr="00BC7C1F">
        <w:rPr>
          <w:rFonts w:ascii="Arial" w:eastAsia="Times New Roman" w:hAnsi="Arial" w:cs="Arial"/>
          <w:color w:val="000000"/>
          <w:kern w:val="0"/>
          <w14:ligatures w14:val="none"/>
        </w:rPr>
        <w:t>: A triple agonist that activates GIP, GLP-1, and GCG receptors, aiding in appetite reduction, metabolism enhancement, and liver fat metabolism. Clinical trials show significant weight loss and glycemic control benefits.</w:t>
      </w:r>
    </w:p>
    <w:p w14:paraId="459C309A" w14:textId="44F4C84C" w:rsidR="009224D5" w:rsidRPr="00BC7C1F" w:rsidRDefault="009224D5" w:rsidP="009224D5">
      <w:pPr>
        <w:numPr>
          <w:ilvl w:val="0"/>
          <w:numId w:val="10"/>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CJC 1295 no DAC / Ipamorelin</w:t>
      </w:r>
      <w:r w:rsidRPr="00BC7C1F">
        <w:rPr>
          <w:rFonts w:ascii="Arial" w:eastAsia="Times New Roman" w:hAnsi="Arial" w:cs="Arial"/>
          <w:color w:val="000000"/>
          <w:kern w:val="0"/>
          <w14:ligatures w14:val="none"/>
        </w:rPr>
        <w:t>: This combination mimics the body's natural pulsatile growth hormone release, enhancing fat loss and muscle growth without causing significant side effects.</w:t>
      </w:r>
      <w:r w:rsidR="00CB1A8E">
        <w:rPr>
          <w:rFonts w:ascii="Arial" w:eastAsia="Times New Roman" w:hAnsi="Arial" w:cs="Arial"/>
          <w:color w:val="000000"/>
          <w:kern w:val="0"/>
          <w14:ligatures w14:val="none"/>
        </w:rPr>
        <w:t xml:space="preserve"> Alternative: may use </w:t>
      </w:r>
      <w:proofErr w:type="spellStart"/>
      <w:r w:rsidR="00CB1A8E">
        <w:rPr>
          <w:rFonts w:ascii="Arial" w:eastAsia="Times New Roman" w:hAnsi="Arial" w:cs="Arial"/>
          <w:color w:val="000000"/>
          <w:kern w:val="0"/>
          <w14:ligatures w14:val="none"/>
        </w:rPr>
        <w:t>Tesamorelin</w:t>
      </w:r>
      <w:proofErr w:type="spellEnd"/>
      <w:r w:rsidR="00CB1A8E">
        <w:rPr>
          <w:rFonts w:ascii="Arial" w:eastAsia="Times New Roman" w:hAnsi="Arial" w:cs="Arial"/>
          <w:color w:val="000000"/>
          <w:kern w:val="0"/>
          <w14:ligatures w14:val="none"/>
        </w:rPr>
        <w:t xml:space="preserve">/Ipamorelin.  </w:t>
      </w:r>
      <w:r w:rsidR="00CB1A8E">
        <w:rPr>
          <w:rFonts w:ascii="Arial" w:eastAsia="Times New Roman" w:hAnsi="Arial" w:cs="Arial"/>
          <w:b/>
          <w:bCs/>
          <w:i/>
          <w:iCs/>
          <w:color w:val="000000"/>
          <w:kern w:val="0"/>
          <w14:ligatures w14:val="none"/>
        </w:rPr>
        <w:t xml:space="preserve">If you use </w:t>
      </w:r>
      <w:proofErr w:type="spellStart"/>
      <w:r w:rsidR="00CB1A8E">
        <w:rPr>
          <w:rFonts w:ascii="Arial" w:eastAsia="Times New Roman" w:hAnsi="Arial" w:cs="Arial"/>
          <w:b/>
          <w:bCs/>
          <w:i/>
          <w:iCs/>
          <w:color w:val="000000"/>
          <w:kern w:val="0"/>
          <w14:ligatures w14:val="none"/>
        </w:rPr>
        <w:t>tesamorelin</w:t>
      </w:r>
      <w:proofErr w:type="spellEnd"/>
      <w:r w:rsidR="00CB1A8E">
        <w:rPr>
          <w:rFonts w:ascii="Arial" w:eastAsia="Times New Roman" w:hAnsi="Arial" w:cs="Arial"/>
          <w:b/>
          <w:bCs/>
          <w:i/>
          <w:iCs/>
          <w:color w:val="000000"/>
          <w:kern w:val="0"/>
          <w14:ligatures w14:val="none"/>
        </w:rPr>
        <w:t>, do not refrigerate reconstituted solution.  Once reconstituted, store in an area at room temperature shielded from light and use within 7 days of reconstitution.</w:t>
      </w:r>
    </w:p>
    <w:p w14:paraId="14015685" w14:textId="77777777" w:rsidR="009224D5" w:rsidRPr="00BC7C1F" w:rsidRDefault="009224D5" w:rsidP="009224D5">
      <w:pPr>
        <w:numPr>
          <w:ilvl w:val="0"/>
          <w:numId w:val="10"/>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GLOW</w:t>
      </w:r>
      <w:r w:rsidRPr="00BC7C1F">
        <w:rPr>
          <w:rFonts w:ascii="Arial" w:eastAsia="Times New Roman" w:hAnsi="Arial" w:cs="Arial"/>
          <w:color w:val="000000"/>
          <w:kern w:val="0"/>
          <w14:ligatures w14:val="none"/>
        </w:rPr>
        <w:t>: Comprises peptides that synergistically promote tissue repair, collagen synthesis, and angiogenesis, making it ideal for recovery from injuries.</w:t>
      </w:r>
    </w:p>
    <w:p w14:paraId="1260E63D" w14:textId="77777777" w:rsidR="009224D5" w:rsidRPr="00BC7C1F" w:rsidRDefault="009224D5" w:rsidP="009224D5">
      <w:pPr>
        <w:numPr>
          <w:ilvl w:val="0"/>
          <w:numId w:val="10"/>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SS-31</w:t>
      </w:r>
      <w:r w:rsidRPr="00BC7C1F">
        <w:rPr>
          <w:rFonts w:ascii="Arial" w:eastAsia="Times New Roman" w:hAnsi="Arial" w:cs="Arial"/>
          <w:color w:val="000000"/>
          <w:kern w:val="0"/>
          <w14:ligatures w14:val="none"/>
        </w:rPr>
        <w:t>: Targets mitochondrial health by stabilizing membranes and enhancing ATP production, crucial for individuals over 40 or with metabolic syndrome.</w:t>
      </w:r>
    </w:p>
    <w:p w14:paraId="2A6D754C" w14:textId="77777777" w:rsidR="009224D5" w:rsidRPr="00BC7C1F" w:rsidRDefault="009224D5" w:rsidP="009224D5">
      <w:pPr>
        <w:numPr>
          <w:ilvl w:val="0"/>
          <w:numId w:val="10"/>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MOTS-C</w:t>
      </w:r>
      <w:r w:rsidRPr="00BC7C1F">
        <w:rPr>
          <w:rFonts w:ascii="Arial" w:eastAsia="Times New Roman" w:hAnsi="Arial" w:cs="Arial"/>
          <w:color w:val="000000"/>
          <w:kern w:val="0"/>
          <w14:ligatures w14:val="none"/>
        </w:rPr>
        <w:t>: Regulates metabolism and muscle wasting prevention, acting through multiple signaling pathways to enhance overall metabolic health.</w:t>
      </w:r>
    </w:p>
    <w:p w14:paraId="4439B4DC" w14:textId="77777777" w:rsidR="009224D5" w:rsidRPr="00BC7C1F" w:rsidRDefault="009224D5" w:rsidP="009224D5">
      <w:pPr>
        <w:numPr>
          <w:ilvl w:val="0"/>
          <w:numId w:val="10"/>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5 Amino-1MQ</w:t>
      </w:r>
      <w:r w:rsidRPr="00BC7C1F">
        <w:rPr>
          <w:rFonts w:ascii="Arial" w:eastAsia="Times New Roman" w:hAnsi="Arial" w:cs="Arial"/>
          <w:color w:val="000000"/>
          <w:kern w:val="0"/>
          <w14:ligatures w14:val="none"/>
        </w:rPr>
        <w:t>: Inhibits NNMT to increase NAD+ levels, promoting fat oxidation and muscle repair.</w:t>
      </w:r>
    </w:p>
    <w:p w14:paraId="74DC2400" w14:textId="77777777" w:rsidR="009224D5" w:rsidRPr="00BC7C1F" w:rsidRDefault="009224D5" w:rsidP="009224D5">
      <w:pPr>
        <w:numPr>
          <w:ilvl w:val="0"/>
          <w:numId w:val="10"/>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SLU-PP-332</w:t>
      </w:r>
      <w:r w:rsidRPr="00BC7C1F">
        <w:rPr>
          <w:rFonts w:ascii="Arial" w:eastAsia="Times New Roman" w:hAnsi="Arial" w:cs="Arial"/>
          <w:color w:val="000000"/>
          <w:kern w:val="0"/>
          <w14:ligatures w14:val="none"/>
        </w:rPr>
        <w:t>: A novel compound that mimics exercise effects by activating ERRs, enhancing mitochondrial biogenesis and energy metabolism.</w:t>
      </w:r>
    </w:p>
    <w:p w14:paraId="3C5E0A2A" w14:textId="77777777" w:rsidR="009224D5" w:rsidRPr="00BC7C1F" w:rsidRDefault="009224D5" w:rsidP="009224D5">
      <w:pPr>
        <w:numPr>
          <w:ilvl w:val="0"/>
          <w:numId w:val="10"/>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NAD+ and NMN</w:t>
      </w:r>
      <w:r w:rsidRPr="00BC7C1F">
        <w:rPr>
          <w:rFonts w:ascii="Arial" w:eastAsia="Times New Roman" w:hAnsi="Arial" w:cs="Arial"/>
          <w:color w:val="000000"/>
          <w:kern w:val="0"/>
          <w14:ligatures w14:val="none"/>
        </w:rPr>
        <w:t>: Essential for energy metabolism, with NAD+ playing a key role in cellular function and longevity.</w:t>
      </w:r>
    </w:p>
    <w:p w14:paraId="7EB8B1F7" w14:textId="77777777" w:rsidR="009224D5" w:rsidRPr="00BC7C1F" w:rsidRDefault="009224D5" w:rsidP="009224D5">
      <w:pPr>
        <w:numPr>
          <w:ilvl w:val="0"/>
          <w:numId w:val="10"/>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L-Carnitine</w:t>
      </w:r>
      <w:r w:rsidRPr="00BC7C1F">
        <w:rPr>
          <w:rFonts w:ascii="Arial" w:eastAsia="Times New Roman" w:hAnsi="Arial" w:cs="Arial"/>
          <w:color w:val="000000"/>
          <w:kern w:val="0"/>
          <w14:ligatures w14:val="none"/>
        </w:rPr>
        <w:t>: Facilitates fatty acid transport for energy production, enhancing exercise performance.</w:t>
      </w:r>
    </w:p>
    <w:p w14:paraId="0E90403A" w14:textId="77777777" w:rsidR="009224D5" w:rsidRPr="00BC7C1F" w:rsidRDefault="009224D5" w:rsidP="009224D5">
      <w:pPr>
        <w:numPr>
          <w:ilvl w:val="0"/>
          <w:numId w:val="10"/>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Creatine</w:t>
      </w:r>
      <w:r w:rsidRPr="00BC7C1F">
        <w:rPr>
          <w:rFonts w:ascii="Arial" w:eastAsia="Times New Roman" w:hAnsi="Arial" w:cs="Arial"/>
          <w:color w:val="000000"/>
          <w:kern w:val="0"/>
          <w14:ligatures w14:val="none"/>
        </w:rPr>
        <w:t>: Increases phosphocreatine stores to support high-intensity exercise and muscle growth.</w:t>
      </w:r>
    </w:p>
    <w:p w14:paraId="4EFCAF56" w14:textId="77777777" w:rsidR="009224D5" w:rsidRPr="00BC7C1F" w:rsidRDefault="009224D5" w:rsidP="009224D5">
      <w:pPr>
        <w:numPr>
          <w:ilvl w:val="0"/>
          <w:numId w:val="10"/>
        </w:numPr>
        <w:shd w:val="clear" w:color="auto" w:fill="FFFFFF"/>
        <w:spacing w:after="0" w:line="360" w:lineRule="auto"/>
        <w:ind w:left="1020"/>
        <w:rPr>
          <w:rFonts w:ascii="Arial" w:eastAsia="Times New Roman" w:hAnsi="Arial" w:cs="Arial"/>
          <w:color w:val="000000"/>
          <w:kern w:val="0"/>
          <w14:ligatures w14:val="none"/>
        </w:rPr>
      </w:pPr>
      <w:r w:rsidRPr="00BC7C1F">
        <w:rPr>
          <w:rFonts w:ascii="Arial" w:eastAsia="Times New Roman" w:hAnsi="Arial" w:cs="Arial"/>
          <w:b/>
          <w:bCs/>
          <w:color w:val="000000"/>
          <w:kern w:val="0"/>
          <w14:ligatures w14:val="none"/>
        </w:rPr>
        <w:t>Tadalafil</w:t>
      </w:r>
      <w:r w:rsidRPr="00BC7C1F">
        <w:rPr>
          <w:rFonts w:ascii="Arial" w:eastAsia="Times New Roman" w:hAnsi="Arial" w:cs="Arial"/>
          <w:color w:val="000000"/>
          <w:kern w:val="0"/>
          <w14:ligatures w14:val="none"/>
        </w:rPr>
        <w:t>: Beyond erectile function, it improves vascular health and muscle performance.</w:t>
      </w:r>
    </w:p>
    <w:p w14:paraId="42684735" w14:textId="77777777" w:rsidR="00BC7C1F" w:rsidRPr="00BC7C1F" w:rsidRDefault="00BC7C1F" w:rsidP="00BC7C1F">
      <w:pPr>
        <w:shd w:val="clear" w:color="auto" w:fill="FFFFFF"/>
        <w:spacing w:after="0" w:line="360" w:lineRule="auto"/>
        <w:ind w:left="1020"/>
        <w:rPr>
          <w:rFonts w:ascii="Arial" w:eastAsia="Times New Roman" w:hAnsi="Arial" w:cs="Arial"/>
          <w:color w:val="000000"/>
          <w:kern w:val="0"/>
          <w14:ligatures w14:val="none"/>
        </w:rPr>
      </w:pPr>
    </w:p>
    <w:p w14:paraId="24E4F1AE" w14:textId="77777777" w:rsidR="007D04AE" w:rsidRDefault="007D04AE" w:rsidP="009224D5">
      <w:pPr>
        <w:shd w:val="clear" w:color="auto" w:fill="FFFFFF"/>
        <w:spacing w:after="300" w:line="360" w:lineRule="auto"/>
        <w:rPr>
          <w:rFonts w:ascii="Arial" w:eastAsia="Times New Roman" w:hAnsi="Arial" w:cs="Arial"/>
          <w:b/>
          <w:bCs/>
          <w:color w:val="000000"/>
          <w:kern w:val="0"/>
          <w14:ligatures w14:val="none"/>
        </w:rPr>
      </w:pPr>
    </w:p>
    <w:p w14:paraId="4EDF4DE8" w14:textId="1A7C12AB" w:rsidR="009224D5" w:rsidRPr="00BC7C1F" w:rsidRDefault="009224D5" w:rsidP="009224D5">
      <w:pPr>
        <w:shd w:val="clear" w:color="auto" w:fill="FFFFFF"/>
        <w:spacing w:after="300" w:line="360" w:lineRule="auto"/>
        <w:rPr>
          <w:rFonts w:ascii="Arial" w:eastAsia="Times New Roman" w:hAnsi="Arial" w:cs="Arial"/>
          <w:b/>
          <w:bCs/>
          <w:color w:val="000000"/>
          <w:kern w:val="0"/>
          <w:sz w:val="21"/>
          <w:szCs w:val="21"/>
          <w14:ligatures w14:val="none"/>
        </w:rPr>
      </w:pPr>
      <w:r w:rsidRPr="00BC7C1F">
        <w:rPr>
          <w:rFonts w:ascii="Arial" w:eastAsia="Times New Roman" w:hAnsi="Arial" w:cs="Arial"/>
          <w:b/>
          <w:bCs/>
          <w:color w:val="000000"/>
          <w:kern w:val="0"/>
          <w14:ligatures w14:val="none"/>
        </w:rPr>
        <w:t>Conclusion: This protocol provides a comprehensive approach to optimizing fat loss, muscle gain, and mitochondrial health using cutting-edge peptides and small molecules. By adhering to the outlined dosing protocols and lifestyle recommendations, individuals can achieve their health and fitness goals more effectively. Further research and clinical trials will continue to elucidate the benefits and safety profiles of these compounds</w:t>
      </w:r>
      <w:r w:rsidRPr="00BC7C1F">
        <w:rPr>
          <w:rFonts w:ascii="Arial" w:eastAsia="Times New Roman" w:hAnsi="Arial" w:cs="Arial"/>
          <w:b/>
          <w:bCs/>
          <w:color w:val="000000"/>
          <w:kern w:val="0"/>
          <w:sz w:val="21"/>
          <w:szCs w:val="21"/>
          <w14:ligatures w14:val="none"/>
        </w:rPr>
        <w:t>.</w:t>
      </w:r>
    </w:p>
    <w:p w14:paraId="5ACAA2DB" w14:textId="67529C8B" w:rsidR="005D342C" w:rsidRDefault="005D342C" w:rsidP="00096F22">
      <w:pPr>
        <w:spacing w:line="360" w:lineRule="auto"/>
        <w:jc w:val="center"/>
      </w:pPr>
    </w:p>
    <w:sectPr w:rsidR="005D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606FE"/>
    <w:multiLevelType w:val="multilevel"/>
    <w:tmpl w:val="D51AD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F0477"/>
    <w:multiLevelType w:val="multilevel"/>
    <w:tmpl w:val="D5B04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72469"/>
    <w:multiLevelType w:val="multilevel"/>
    <w:tmpl w:val="FC16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B6CE0"/>
    <w:multiLevelType w:val="multilevel"/>
    <w:tmpl w:val="3932AE52"/>
    <w:lvl w:ilvl="0">
      <w:start w:val="1"/>
      <w:numFmt w:val="bullet"/>
      <w:lvlText w:val=""/>
      <w:lvlJc w:val="left"/>
      <w:pPr>
        <w:tabs>
          <w:tab w:val="num" w:pos="1380"/>
        </w:tabs>
        <w:ind w:left="1380" w:hanging="360"/>
      </w:pPr>
      <w:rPr>
        <w:rFonts w:ascii="Symbol" w:hAnsi="Symbol" w:hint="default"/>
        <w:sz w:val="20"/>
      </w:rPr>
    </w:lvl>
    <w:lvl w:ilvl="1" w:tentative="1">
      <w:start w:val="1"/>
      <w:numFmt w:val="bullet"/>
      <w:lvlText w:val="o"/>
      <w:lvlJc w:val="left"/>
      <w:pPr>
        <w:tabs>
          <w:tab w:val="num" w:pos="2100"/>
        </w:tabs>
        <w:ind w:left="2100" w:hanging="360"/>
      </w:pPr>
      <w:rPr>
        <w:rFonts w:ascii="Courier New" w:hAnsi="Courier New" w:hint="default"/>
        <w:sz w:val="20"/>
      </w:rPr>
    </w:lvl>
    <w:lvl w:ilvl="2" w:tentative="1">
      <w:start w:val="1"/>
      <w:numFmt w:val="bullet"/>
      <w:lvlText w:val=""/>
      <w:lvlJc w:val="left"/>
      <w:pPr>
        <w:tabs>
          <w:tab w:val="num" w:pos="2820"/>
        </w:tabs>
        <w:ind w:left="2820" w:hanging="360"/>
      </w:pPr>
      <w:rPr>
        <w:rFonts w:ascii="Wingdings" w:hAnsi="Wingdings" w:hint="default"/>
        <w:sz w:val="20"/>
      </w:rPr>
    </w:lvl>
    <w:lvl w:ilvl="3" w:tentative="1">
      <w:start w:val="1"/>
      <w:numFmt w:val="bullet"/>
      <w:lvlText w:val=""/>
      <w:lvlJc w:val="left"/>
      <w:pPr>
        <w:tabs>
          <w:tab w:val="num" w:pos="3540"/>
        </w:tabs>
        <w:ind w:left="3540" w:hanging="360"/>
      </w:pPr>
      <w:rPr>
        <w:rFonts w:ascii="Wingdings" w:hAnsi="Wingdings" w:hint="default"/>
        <w:sz w:val="20"/>
      </w:rPr>
    </w:lvl>
    <w:lvl w:ilvl="4" w:tentative="1">
      <w:start w:val="1"/>
      <w:numFmt w:val="bullet"/>
      <w:lvlText w:val=""/>
      <w:lvlJc w:val="left"/>
      <w:pPr>
        <w:tabs>
          <w:tab w:val="num" w:pos="4260"/>
        </w:tabs>
        <w:ind w:left="4260" w:hanging="360"/>
      </w:pPr>
      <w:rPr>
        <w:rFonts w:ascii="Wingdings" w:hAnsi="Wingdings" w:hint="default"/>
        <w:sz w:val="20"/>
      </w:rPr>
    </w:lvl>
    <w:lvl w:ilvl="5" w:tentative="1">
      <w:start w:val="1"/>
      <w:numFmt w:val="bullet"/>
      <w:lvlText w:val=""/>
      <w:lvlJc w:val="left"/>
      <w:pPr>
        <w:tabs>
          <w:tab w:val="num" w:pos="4980"/>
        </w:tabs>
        <w:ind w:left="4980" w:hanging="360"/>
      </w:pPr>
      <w:rPr>
        <w:rFonts w:ascii="Wingdings" w:hAnsi="Wingdings" w:hint="default"/>
        <w:sz w:val="20"/>
      </w:rPr>
    </w:lvl>
    <w:lvl w:ilvl="6" w:tentative="1">
      <w:start w:val="1"/>
      <w:numFmt w:val="bullet"/>
      <w:lvlText w:val=""/>
      <w:lvlJc w:val="left"/>
      <w:pPr>
        <w:tabs>
          <w:tab w:val="num" w:pos="5700"/>
        </w:tabs>
        <w:ind w:left="5700" w:hanging="360"/>
      </w:pPr>
      <w:rPr>
        <w:rFonts w:ascii="Wingdings" w:hAnsi="Wingdings" w:hint="default"/>
        <w:sz w:val="20"/>
      </w:rPr>
    </w:lvl>
    <w:lvl w:ilvl="7" w:tentative="1">
      <w:start w:val="1"/>
      <w:numFmt w:val="bullet"/>
      <w:lvlText w:val=""/>
      <w:lvlJc w:val="left"/>
      <w:pPr>
        <w:tabs>
          <w:tab w:val="num" w:pos="6420"/>
        </w:tabs>
        <w:ind w:left="6420" w:hanging="360"/>
      </w:pPr>
      <w:rPr>
        <w:rFonts w:ascii="Wingdings" w:hAnsi="Wingdings" w:hint="default"/>
        <w:sz w:val="20"/>
      </w:rPr>
    </w:lvl>
    <w:lvl w:ilvl="8" w:tentative="1">
      <w:start w:val="1"/>
      <w:numFmt w:val="bullet"/>
      <w:lvlText w:val=""/>
      <w:lvlJc w:val="left"/>
      <w:pPr>
        <w:tabs>
          <w:tab w:val="num" w:pos="7140"/>
        </w:tabs>
        <w:ind w:left="7140" w:hanging="360"/>
      </w:pPr>
      <w:rPr>
        <w:rFonts w:ascii="Wingdings" w:hAnsi="Wingdings" w:hint="default"/>
        <w:sz w:val="20"/>
      </w:rPr>
    </w:lvl>
  </w:abstractNum>
  <w:abstractNum w:abstractNumId="4" w15:restartNumberingAfterBreak="0">
    <w:nsid w:val="262C1DD3"/>
    <w:multiLevelType w:val="multilevel"/>
    <w:tmpl w:val="D6448B1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B741D"/>
    <w:multiLevelType w:val="hybridMultilevel"/>
    <w:tmpl w:val="393077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852350E"/>
    <w:multiLevelType w:val="multilevel"/>
    <w:tmpl w:val="500C351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A6758E"/>
    <w:multiLevelType w:val="multilevel"/>
    <w:tmpl w:val="44F2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F5179E"/>
    <w:multiLevelType w:val="multilevel"/>
    <w:tmpl w:val="8D0C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C6875"/>
    <w:multiLevelType w:val="multilevel"/>
    <w:tmpl w:val="6070066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0A35DD"/>
    <w:multiLevelType w:val="multilevel"/>
    <w:tmpl w:val="535A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77ED6"/>
    <w:multiLevelType w:val="hybridMultilevel"/>
    <w:tmpl w:val="B69C35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88169000">
    <w:abstractNumId w:val="1"/>
  </w:num>
  <w:num w:numId="2" w16cid:durableId="1628966623">
    <w:abstractNumId w:val="0"/>
  </w:num>
  <w:num w:numId="3" w16cid:durableId="209079979">
    <w:abstractNumId w:val="3"/>
  </w:num>
  <w:num w:numId="4" w16cid:durableId="1527676417">
    <w:abstractNumId w:val="6"/>
  </w:num>
  <w:num w:numId="5" w16cid:durableId="1884905082">
    <w:abstractNumId w:val="7"/>
  </w:num>
  <w:num w:numId="6" w16cid:durableId="981157854">
    <w:abstractNumId w:val="4"/>
  </w:num>
  <w:num w:numId="7" w16cid:durableId="1966155009">
    <w:abstractNumId w:val="10"/>
  </w:num>
  <w:num w:numId="8" w16cid:durableId="1404988844">
    <w:abstractNumId w:val="9"/>
  </w:num>
  <w:num w:numId="9" w16cid:durableId="1162888365">
    <w:abstractNumId w:val="2"/>
  </w:num>
  <w:num w:numId="10" w16cid:durableId="1355375201">
    <w:abstractNumId w:val="8"/>
  </w:num>
  <w:num w:numId="11" w16cid:durableId="1431782074">
    <w:abstractNumId w:val="5"/>
  </w:num>
  <w:num w:numId="12" w16cid:durableId="8204627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4D5"/>
    <w:rsid w:val="000300E7"/>
    <w:rsid w:val="00096F22"/>
    <w:rsid w:val="000D3D43"/>
    <w:rsid w:val="00292875"/>
    <w:rsid w:val="00452C7E"/>
    <w:rsid w:val="00454EE1"/>
    <w:rsid w:val="00464CCB"/>
    <w:rsid w:val="00492F83"/>
    <w:rsid w:val="004C49F3"/>
    <w:rsid w:val="005627E1"/>
    <w:rsid w:val="005D342C"/>
    <w:rsid w:val="0071103C"/>
    <w:rsid w:val="00790FDD"/>
    <w:rsid w:val="007D04AE"/>
    <w:rsid w:val="00815C4D"/>
    <w:rsid w:val="009224D5"/>
    <w:rsid w:val="0093055B"/>
    <w:rsid w:val="009306AA"/>
    <w:rsid w:val="009664A9"/>
    <w:rsid w:val="009C0CF3"/>
    <w:rsid w:val="00A77D94"/>
    <w:rsid w:val="00AC5A08"/>
    <w:rsid w:val="00BC7C1F"/>
    <w:rsid w:val="00CB1A8E"/>
    <w:rsid w:val="00D85F3F"/>
    <w:rsid w:val="00F57E06"/>
    <w:rsid w:val="00FC1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9D358F"/>
  <w15:chartTrackingRefBased/>
  <w15:docId w15:val="{E81047BD-55D2-B544-9156-1A51BC70F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4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4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4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4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4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4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4D5"/>
    <w:rPr>
      <w:rFonts w:eastAsiaTheme="majorEastAsia" w:cstheme="majorBidi"/>
      <w:color w:val="272727" w:themeColor="text1" w:themeTint="D8"/>
    </w:rPr>
  </w:style>
  <w:style w:type="paragraph" w:styleId="Title">
    <w:name w:val="Title"/>
    <w:basedOn w:val="Normal"/>
    <w:next w:val="Normal"/>
    <w:link w:val="TitleChar"/>
    <w:uiPriority w:val="10"/>
    <w:qFormat/>
    <w:rsid w:val="00922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4D5"/>
    <w:pPr>
      <w:spacing w:before="160"/>
      <w:jc w:val="center"/>
    </w:pPr>
    <w:rPr>
      <w:i/>
      <w:iCs/>
      <w:color w:val="404040" w:themeColor="text1" w:themeTint="BF"/>
    </w:rPr>
  </w:style>
  <w:style w:type="character" w:customStyle="1" w:styleId="QuoteChar">
    <w:name w:val="Quote Char"/>
    <w:basedOn w:val="DefaultParagraphFont"/>
    <w:link w:val="Quote"/>
    <w:uiPriority w:val="29"/>
    <w:rsid w:val="009224D5"/>
    <w:rPr>
      <w:i/>
      <w:iCs/>
      <w:color w:val="404040" w:themeColor="text1" w:themeTint="BF"/>
    </w:rPr>
  </w:style>
  <w:style w:type="paragraph" w:styleId="ListParagraph">
    <w:name w:val="List Paragraph"/>
    <w:basedOn w:val="Normal"/>
    <w:uiPriority w:val="34"/>
    <w:qFormat/>
    <w:rsid w:val="009224D5"/>
    <w:pPr>
      <w:ind w:left="720"/>
      <w:contextualSpacing/>
    </w:pPr>
  </w:style>
  <w:style w:type="character" w:styleId="IntenseEmphasis">
    <w:name w:val="Intense Emphasis"/>
    <w:basedOn w:val="DefaultParagraphFont"/>
    <w:uiPriority w:val="21"/>
    <w:qFormat/>
    <w:rsid w:val="009224D5"/>
    <w:rPr>
      <w:i/>
      <w:iCs/>
      <w:color w:val="0F4761" w:themeColor="accent1" w:themeShade="BF"/>
    </w:rPr>
  </w:style>
  <w:style w:type="paragraph" w:styleId="IntenseQuote">
    <w:name w:val="Intense Quote"/>
    <w:basedOn w:val="Normal"/>
    <w:next w:val="Normal"/>
    <w:link w:val="IntenseQuoteChar"/>
    <w:uiPriority w:val="30"/>
    <w:qFormat/>
    <w:rsid w:val="00922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4D5"/>
    <w:rPr>
      <w:i/>
      <w:iCs/>
      <w:color w:val="0F4761" w:themeColor="accent1" w:themeShade="BF"/>
    </w:rPr>
  </w:style>
  <w:style w:type="character" w:styleId="IntenseReference">
    <w:name w:val="Intense Reference"/>
    <w:basedOn w:val="DefaultParagraphFont"/>
    <w:uiPriority w:val="32"/>
    <w:qFormat/>
    <w:rsid w:val="009224D5"/>
    <w:rPr>
      <w:b/>
      <w:bCs/>
      <w:smallCaps/>
      <w:color w:val="0F4761" w:themeColor="accent1" w:themeShade="BF"/>
      <w:spacing w:val="5"/>
    </w:rPr>
  </w:style>
  <w:style w:type="paragraph" w:styleId="NormalWeb">
    <w:name w:val="Normal (Web)"/>
    <w:basedOn w:val="Normal"/>
    <w:uiPriority w:val="99"/>
    <w:semiHidden/>
    <w:unhideWhenUsed/>
    <w:rsid w:val="009224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24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909</Words>
  <Characters>5167</Characters>
  <Application>Microsoft Office Word</Application>
  <DocSecurity>0</DocSecurity>
  <Lines>126</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Moses</dc:creator>
  <cp:keywords/>
  <dc:description/>
  <cp:lastModifiedBy>Avery Moses</cp:lastModifiedBy>
  <cp:revision>2</cp:revision>
  <dcterms:created xsi:type="dcterms:W3CDTF">2026-02-10T03:40:00Z</dcterms:created>
  <dcterms:modified xsi:type="dcterms:W3CDTF">2026-02-10T03:40:00Z</dcterms:modified>
</cp:coreProperties>
</file>