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sz w:val="28"/>
          <w:szCs w:val="28"/>
        </w:rPr>
      </w:pPr>
      <w:bookmarkStart w:colFirst="0" w:colLast="0" w:name="_xzpm5ml88igg" w:id="0"/>
      <w:bookmarkEnd w:id="0"/>
      <w:r w:rsidDel="00000000" w:rsidR="00000000" w:rsidRPr="00000000">
        <w:rPr>
          <w:rFonts w:ascii="Times New Roman" w:cs="Times New Roman" w:eastAsia="Times New Roman" w:hAnsi="Times New Roman"/>
          <w:b w:val="1"/>
          <w:sz w:val="28"/>
          <w:szCs w:val="28"/>
          <w:rtl w:val="0"/>
        </w:rPr>
        <w:t xml:space="preserve">Plan de Casos de Prueba - Social Service Platform</w:t>
      </w:r>
      <w:r w:rsidDel="00000000" w:rsidR="00000000" w:rsidRPr="00000000">
        <w:rPr>
          <w:rtl w:val="0"/>
        </w:rPr>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documento detalla el Plan de Casos de Prueba realizado para validar la funcionalidad, calidad, rendimiento y usabilidad de la plataforma de proyectos solidarios, utilizada para gestionar postulaciones estudiantiles, administración de proyectos y operaciones por parte de los socios formadores y administradores. Las pruebas se clasifican en manuales y automatizadas, y se basan en distintos enfoques: BICEP, CORRECT, RIGHT BICEP, pruebas heurísticas, pruebas con Test Doubles (Dummy, Stub, Mock, Fake, Spy), pruebas mutantes y pruebas de endpoints REST.</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prueba evalúa componentes críticos del sistema: autenticación con Google, navegación, carga de catálogos, formularios de postulación, confirmación de participación, gestión de postulaciones, validación de listas, funcionalidades para socios formadores, y servicios backend. Todas las pruebas han sido aprobadas.</w:t>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4.6067415730338"/>
        <w:gridCol w:w="2445.1685393258426"/>
        <w:gridCol w:w="1314.6067415730338"/>
        <w:gridCol w:w="2971.0112359550562"/>
        <w:gridCol w:w="1314.6067415730338"/>
        <w:tblGridChange w:id="0">
          <w:tblGrid>
            <w:gridCol w:w="1314.6067415730338"/>
            <w:gridCol w:w="2445.1685393258426"/>
            <w:gridCol w:w="1314.6067415730338"/>
            <w:gridCol w:w="2971.0112359550562"/>
            <w:gridCol w:w="1314.6067415730338"/>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 de Prueba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Manual/</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Automatizada</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Funcionalidad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de email institucional válido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de email no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correo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Formato incorrecto en correo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autenticación con cuenta válida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 al intentar autenticar con red caída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carga de login inferior a 3s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con OAuth2.0 (Google) cumple con el estándar de autenticación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Flujo de navegación del login al dashboard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Correos con dominio @tec.mx son válidos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Redirección al perfil 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obligatorio de correo visible y validado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cuenta por sesión activa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con cuenta válida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Correo sin dominio 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sesión autenticada a otra sin cerrar sesión anterior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Validar sesión iniciada con cookies / localStorage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total desde click hasta redirección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proyectos registrados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correcta de información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carga del catálogo &lt;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del catálogo usan diseño base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de proyectos activos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Catálogo visible tras login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de catálogo tras login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sin login intenta ver catálogo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datos desde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Intento de carga con servidor caído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respuesta de la API del catálogo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Formulario accesible solo desde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Campos obligatorios vacíos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del formulario en menos de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siguen estructura de formularios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 lógico de campos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campos con longitud limitada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Relación formulario-proyecto correcta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Visibilidad de todos los campos requeridos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Llenado promedio en tiempo razonable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Envío exitoso del formulario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de texto muy extenso en campo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Intento de acceso directo sin selección previa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registro en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Falla al enviar con red caída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Tiempos de respuesta tras enviar formulario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en sección "Mis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sin registros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A: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Lista con 3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Componentes del estado siguen guía UI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 cronológico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Estados posibles mostrados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Estado vinculado al proyecto 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Sección visible en el dashboard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Sólo una postulación por proyecto visible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estados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correcta de estado por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 sin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directo sin login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con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 del sistema al cargar la sección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desde click hasta visualización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visible solo si el estado es aceptado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Click en confirmar sin seleccionar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válida actualiza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al confirmar participación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respuesta al confirmar &lt;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sigue reglas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Flujo correcto al confirmar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permite confirmar proyectos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de confirmación visible si aplica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puede confirmar una vez por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válida cambia estado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proyecto no aceptado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desde enlace directo sin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con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rápida tras interacción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sin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Actualización del estado de una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Respuesta a cambios de estado &lt;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Gestión de postulaciones sigue estándar de UI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ordenadas por fecha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Visualización por filtro de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Cambios reflejados en la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proyectos listados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estado activo por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y actualizar postulaciones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Proyecto sin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Acceder a vista admin sin autenticación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en backend del cambio de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respuesta al actualizar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en proyecto con cupo lleno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en cálculo de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cupo sigue reglas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del cupo antes de aceptar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Cupo no puede ser negativo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Actualización reflejada en interfaz y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cupo presente en todos los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una postulación cuenta para el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del cupo bajo red lenta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Última postulación disponible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sincronización de cupo en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Falla del sistema al evaluar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del cupo instantánea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Excel con más de 1000 registros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vacío o sin datos válidos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en Excel no deben poder ser inscritos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Formato no soportado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marca como no inscritos solo a los del archivo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Evaluación de matrículas válidas dentro del dominio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Vinculación correcta con proyectos actuales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obligatorio para cargar el archivo en el panel de administrador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una lista activa por proyecto a la vez</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Última matrícula del archivo procesada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no listados pueden seguir postulándose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matrícula con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Fallo al leer archivo corrupto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CSV válido con múltiples registros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con formato incorrecto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importados coinciden con contenido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importación &lt; 3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Estructura CSV/XLSX cumple con especificaciones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Orden de campos en descarga es coherente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Archivos grandes pueden ser cargados correctamente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Información descargada coincide con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de importar/exportar visible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solo archivo por importación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Exportación genera archivo válido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Cargar archivo con datos límite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Modificar archivo antes de subirlo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registros en el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con lista válida de alumnos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con alumnos no existentes en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Archivo sin columnas obligatorias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alumnos en la lista pueden ser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al subir lista validada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 validación contra lista &lt; 1 segundo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Formato del archivo cumple con las reglas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ocurre antes de aceptar al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alumnos de la lista pueden ser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Datos cargados se vinculan al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validación presente en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Importación y validación instantánea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alumno desde 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no validados intentan ser aceptados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Subida de archivo con columnas cambiadas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con backend después de importar 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en backend en menos de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con clave válida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Ingreso con clave inválida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de clave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restringido a proyectos asignados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vista en menos de 2 segundos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Interfaz cumple con diseño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Alumnos ordenados alfabéticamente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puede actualizar estados de proyectos propios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vinculada correctamente a la clave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Campo para clave visible y obligatorio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sesión por clave activa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correcto con clave generada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Acceso a proyecto de otra socioformadora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Verificación de proyectos asignados en backend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Falla del servidor en validación de clave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BICEP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Tiempo desde validación hasta redirección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Dummy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Simulación de organización al crear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Stub</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Simulación de respuesta controlada para detectar proyecto duplicado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Mock</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llamadas a funciones en simulación de base de datos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Fake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 de datos en memoria para verificar disponibilidad de cupo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Observación de funciones como getApplication y saveApplication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"bg-teal-300" por "bg-purple-400"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"bg-purple-400" por "bg-teal-300"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"bg-rose-400" por "bg-orange-400"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"bg-orange-400" por "bg-sky-400"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"bg-sky-400" por "bg-rose-400"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Retorno fijo "bg-black"</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if (hours &lt; 100) return "bg-yellow-400"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Condición if (hours &gt;= 180)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Condición if (hours !== 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Validación de tipo typeof hours !== "number"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estado por defecto a "completed"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estado por defecto a "rejected"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5">
            <w:pPr>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Lógica invertida "completed" → "rejected"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A">
            <w:pPr>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Lógica invertida "rejected" → "completed"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Omitir paso "Inscritx"</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base sin cambios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base[1].status = "rejected"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estados a "completed"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paso "Inscritx" sin condicional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.trim() en nombre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Validar .com en lugar de @</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con menos de 10 caracteres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 mayor a 10 caracteres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vacío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Matrícula corta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.trim() en carrera_completa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demasiado corto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institucional @tec.mx</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 directo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exacta project.proyecto === search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.toLowerCase()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false fijo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true fijo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startsWith en lugar de includes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endsWith en lugar de includes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contra cadena vacía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contra cadena vacía en objetivo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return !search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Mutantes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Comparación exacta con .toLowerCase()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Explorar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Detallada de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Postulación a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Estatus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Proyectos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estático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Vista de Solicitudes (Admin)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estético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de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 Visibilidad del estado del sistema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2: Coincidencia entre sistema y mundo real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3: Control y libertad del usuario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5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4: Consistencia y estándares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5: Prevención de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6: Reconocer antes que recordar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7: Flexibilidad y eficiencia de uso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8: Diseño estético y minimalista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9: Ayudar a reconocer errores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Heurística 10: Ayuda y documentación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Postulaciones de Alumnos (Socio)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detalles de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Visitar el perfil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Usar el chatbot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Revisar estatus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6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Confirmar participación aceptada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Cancelar formulario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Agregar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Eliminar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postulación de alumno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listado de solicitudes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Editar datos de socio 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1 Entrevistado 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Cerrar sesión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su correo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Navegar por los proyectos solidarios (Usar filtros, hacer búsquedas)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el estatus de las postulaciones a diferentes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Aceptar/Rechazar su participación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las credenciales proporcionadas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subir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proyectos por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 proyecto específico en la tabla de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solicitudes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la postulación de un proyecto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evaluar posibles adeudos de estudiantes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la tabla de postulaciones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el estado del alumno (aceptado, rechazado, declinado, en revisión)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una postulación específica en la tabla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la tabla de postulaciones (PDF y CSV)</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su correo institucional</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Navegar por los proyectos solidarios (Usar filtros, hacer búsquedas)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detalles de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Postularse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 el estatus de las postulaciones a diferentes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Aceptar/Rechazar su participación a un proyecto solidario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Iniciar sesión con las credenciales proporcionadas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subir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proyectos por estado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 proyecto específico en la tabla de proyectos solidarios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solicitudes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la postulación de un proyecto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Importar archivos .csv y .xlsx para evaluar posibles adeudos de estudiantes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Filtrar la tabla de postulaciones por carreras y estados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Cambiar el estado del alumno (aceptado, rechazado, declinado, en revisión)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Buscar una postulación específica en la tabla de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Cámara de Gessell Prueba 2 Entrevistado 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Descargar la tabla de postulaciones (PDF y CSV)</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todos los proyectos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proyecto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nuevo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proyecto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todas las postulaciones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postulación de estudiante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nueva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todos los socioformadores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7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socioformador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nuevo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socioformador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todos los ODS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ODS específico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nuevo ODS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ODS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todas las carreras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Obtener carrera específica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 Crear nueva carrera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 Eliminar carrera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Proyectos por carrera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Postulaciones por estatus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 Proyectos con JOIN a socioformadores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Endpoint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Automatizada</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PATCH - Actualizar estatus de postulación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8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Aprobado</w:t>
            </w:r>
          </w:p>
        </w:tc>
      </w:tr>
    </w:tbl>
    <w:p w:rsidR="00000000" w:rsidDel="00000000" w:rsidP="00000000" w:rsidRDefault="00000000" w:rsidRPr="00000000" w14:paraId="000008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4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mmefaklphox5" w:id="1"/>
      <w:bookmarkEnd w:id="1"/>
      <w:r w:rsidDel="00000000" w:rsidR="00000000" w:rsidRPr="00000000">
        <w:rPr>
          <w:rFonts w:ascii="Times New Roman" w:cs="Times New Roman" w:eastAsia="Times New Roman" w:hAnsi="Times New Roman"/>
          <w:b w:val="1"/>
          <w:color w:val="000000"/>
          <w:sz w:val="26"/>
          <w:szCs w:val="26"/>
          <w:rtl w:val="0"/>
        </w:rPr>
        <w:t xml:space="preserve">Análisis de Cobertura de Pruebas</w:t>
      </w:r>
    </w:p>
    <w:p w:rsidR="00000000" w:rsidDel="00000000" w:rsidP="00000000" w:rsidRDefault="00000000" w:rsidRPr="00000000" w14:paraId="0000084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el proceso de validación de la plataforma de proyectos solidarios, se logró una cobertura amplia y equilibrada al aplicar distintos enfoques de prueba. A continuación, se analiza cada tipo en relación con su aporte al aseguramiento de calidad:</w:t>
      </w:r>
    </w:p>
    <w:p w:rsidR="00000000" w:rsidDel="00000000" w:rsidP="00000000" w:rsidRDefault="00000000" w:rsidRPr="00000000" w14:paraId="0000084B">
      <w:pPr>
        <w:numPr>
          <w:ilvl w:val="0"/>
          <w:numId w:val="1"/>
        </w:numPr>
        <w:spacing w:after="240" w:before="240" w:lineRule="auto"/>
        <w:ind w:left="720" w:hanging="360"/>
        <w:jc w:val="both"/>
        <w:rPr>
          <w:rFonts w:ascii="Times New Roman" w:cs="Times New Roman" w:eastAsia="Times New Roman" w:hAnsi="Times New Roman"/>
          <w:b w:val="1"/>
          <w:color w:val="000000"/>
          <w:sz w:val="22"/>
          <w:szCs w:val="22"/>
          <w:u w:val="none"/>
        </w:rPr>
      </w:pPr>
      <w:r w:rsidDel="00000000" w:rsidR="00000000" w:rsidRPr="00000000">
        <w:rPr>
          <w:rFonts w:ascii="Gungsuh" w:cs="Gungsuh" w:eastAsia="Gungsuh" w:hAnsi="Gungsuh"/>
          <w:b w:val="1"/>
          <w:color w:val="000000"/>
          <w:sz w:val="22"/>
          <w:szCs w:val="22"/>
          <w:rtl w:val="0"/>
        </w:rPr>
        <w:t xml:space="preserve">Pruebas Manuales (BICEP, CORRECT, RIGHT BICEP) — 167 casos (≈39.6%)</w:t>
      </w:r>
    </w:p>
    <w:p w:rsidR="00000000" w:rsidDel="00000000" w:rsidP="00000000" w:rsidRDefault="00000000" w:rsidRPr="00000000" w14:paraId="0000084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pruebas </w:t>
      </w:r>
      <w:r w:rsidDel="00000000" w:rsidR="00000000" w:rsidRPr="00000000">
        <w:rPr>
          <w:rFonts w:ascii="Times New Roman" w:cs="Times New Roman" w:eastAsia="Times New Roman" w:hAnsi="Times New Roman"/>
          <w:rtl w:val="0"/>
        </w:rPr>
        <w:t xml:space="preserve">abarcaron</w:t>
      </w:r>
      <w:r w:rsidDel="00000000" w:rsidR="00000000" w:rsidRPr="00000000">
        <w:rPr>
          <w:rFonts w:ascii="Times New Roman" w:cs="Times New Roman" w:eastAsia="Times New Roman" w:hAnsi="Times New Roman"/>
          <w:rtl w:val="0"/>
        </w:rPr>
        <w:t xml:space="preserve"> una gran parte del sistema funcional. Se validaron los flujos clave de la plataforma desde el punto de vista del usuario, como el inicio de sesión, navegación entre vistas, postulaciones, gestión de cupos y confirmación de participación. Este tipo de prueba garantiza que el sistema cumpla con los requerimientos funcionales esperados en condiciones normales de uso.</w:t>
        <w:br w:type="textWrapping"/>
      </w:r>
      <w:r w:rsidDel="00000000" w:rsidR="00000000" w:rsidRPr="00000000">
        <w:rPr>
          <w:rFonts w:ascii="Times New Roman" w:cs="Times New Roman" w:eastAsia="Times New Roman" w:hAnsi="Times New Roman"/>
          <w:b w:val="1"/>
          <w:rtl w:val="0"/>
        </w:rPr>
        <w:t xml:space="preserve">Cobertura: </w:t>
      </w:r>
      <w:r w:rsidDel="00000000" w:rsidR="00000000" w:rsidRPr="00000000">
        <w:rPr>
          <w:rFonts w:ascii="Times New Roman" w:cs="Times New Roman" w:eastAsia="Times New Roman" w:hAnsi="Times New Roman"/>
          <w:rtl w:val="0"/>
        </w:rPr>
        <w:t xml:space="preserve">Alta en interfaz y lógica de negocio principal.</w:t>
      </w:r>
    </w:p>
    <w:p w:rsidR="00000000" w:rsidDel="00000000" w:rsidP="00000000" w:rsidRDefault="00000000" w:rsidRPr="00000000" w14:paraId="0000084D">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r26ppmwksuav" w:id="2"/>
      <w:bookmarkEnd w:id="2"/>
      <w:r w:rsidDel="00000000" w:rsidR="00000000" w:rsidRPr="00000000">
        <w:rPr>
          <w:rFonts w:ascii="Gungsuh" w:cs="Gungsuh" w:eastAsia="Gungsuh" w:hAnsi="Gungsuh"/>
          <w:b w:val="1"/>
          <w:color w:val="000000"/>
          <w:sz w:val="22"/>
          <w:szCs w:val="22"/>
          <w:rtl w:val="0"/>
        </w:rPr>
        <w:t xml:space="preserve">Heurísticas de Nielsen — 100 casos (≈23.7%)</w:t>
      </w:r>
    </w:p>
    <w:p w:rsidR="00000000" w:rsidDel="00000000" w:rsidP="00000000" w:rsidRDefault="00000000" w:rsidRPr="00000000" w14:paraId="000008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Aplicadas en todas las vistas clave, estas pruebas garantizaron la usabilidad, accesibilidad y experiencia de usuario (UX). Evaluaron principios como visibilidad del estado del sistema, consistencia, prevención de errores, ayuda contextual y eficiencia de uso.</w:t>
        <w:br w:type="textWrapping"/>
      </w:r>
      <w:r w:rsidDel="00000000" w:rsidR="00000000" w:rsidRPr="00000000">
        <w:rPr>
          <w:rFonts w:ascii="Times New Roman" w:cs="Times New Roman" w:eastAsia="Times New Roman" w:hAnsi="Times New Roman"/>
          <w:b w:val="1"/>
          <w:rtl w:val="0"/>
        </w:rPr>
        <w:t xml:space="preserve">Cobertura: </w:t>
      </w:r>
      <w:r w:rsidDel="00000000" w:rsidR="00000000" w:rsidRPr="00000000">
        <w:rPr>
          <w:rFonts w:ascii="Times New Roman" w:cs="Times New Roman" w:eastAsia="Times New Roman" w:hAnsi="Times New Roman"/>
          <w:rtl w:val="0"/>
        </w:rPr>
        <w:t xml:space="preserve">Alta en aspectos de diseño, consistencia visual y navegación.</w:t>
      </w:r>
    </w:p>
    <w:p w:rsidR="00000000" w:rsidDel="00000000" w:rsidP="00000000" w:rsidRDefault="00000000" w:rsidRPr="00000000" w14:paraId="0000084F">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owruwv98ywjd" w:id="3"/>
      <w:bookmarkEnd w:id="3"/>
      <w:r w:rsidDel="00000000" w:rsidR="00000000" w:rsidRPr="00000000">
        <w:rPr>
          <w:rFonts w:ascii="Gungsuh" w:cs="Gungsuh" w:eastAsia="Gungsuh" w:hAnsi="Gungsuh"/>
          <w:b w:val="1"/>
          <w:color w:val="000000"/>
          <w:sz w:val="22"/>
          <w:szCs w:val="22"/>
          <w:rtl w:val="0"/>
        </w:rPr>
        <w:t xml:space="preserve">Pruebas de Usuario (Cámara de Gesell) — 86 casos (≈20.4%)</w:t>
      </w:r>
    </w:p>
    <w:p w:rsidR="00000000" w:rsidDel="00000000" w:rsidP="00000000" w:rsidRDefault="00000000" w:rsidRPr="00000000" w14:paraId="000008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pruebas permitieron evaluar el comportamiento real de los usuarios frente a la interfaz, identificando puntos de fricción, dudas frecuentes, claridad de instrucciones y facilidad para completar tareas. Su inclusión fue clave para validar la experiencia desde un enfoque centrado en el usuario.</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Media-alta en UX real y validación de accesibilidad.</w:t>
      </w:r>
    </w:p>
    <w:p w:rsidR="00000000" w:rsidDel="00000000" w:rsidP="00000000" w:rsidRDefault="00000000" w:rsidRPr="00000000" w14:paraId="00000851">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jk707suiaaeu" w:id="4"/>
      <w:bookmarkEnd w:id="4"/>
      <w:r w:rsidDel="00000000" w:rsidR="00000000" w:rsidRPr="00000000">
        <w:rPr>
          <w:rFonts w:ascii="Gungsuh" w:cs="Gungsuh" w:eastAsia="Gungsuh" w:hAnsi="Gungsuh"/>
          <w:b w:val="1"/>
          <w:color w:val="000000"/>
          <w:sz w:val="22"/>
          <w:szCs w:val="22"/>
          <w:rtl w:val="0"/>
        </w:rPr>
        <w:t xml:space="preserve"> Test Doubles — 5 casos (≈1.2%)</w:t>
      </w:r>
    </w:p>
    <w:p w:rsidR="00000000" w:rsidDel="00000000" w:rsidP="00000000" w:rsidRDefault="00000000" w:rsidRPr="00000000" w14:paraId="000008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en menor cantidad, estas pruebas tuvieron un enfoque técnico para simular comportamientos y asegurar que la lógica crítica respondiera correctamente a situaciones límite o errores controlados. Se usaron Dummy, Stub, Mock, Fake y Spy, cubriendo distintos niveles de abstracción.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Alta profundidad lógica en áreas críticas, aunque limitada en amplitud.</w:t>
      </w:r>
    </w:p>
    <w:p w:rsidR="00000000" w:rsidDel="00000000" w:rsidP="00000000" w:rsidRDefault="00000000" w:rsidRPr="00000000" w14:paraId="00000853">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9ngvcno084cw" w:id="5"/>
      <w:bookmarkEnd w:id="5"/>
      <w:r w:rsidDel="00000000" w:rsidR="00000000" w:rsidRPr="00000000">
        <w:rPr>
          <w:rFonts w:ascii="Gungsuh" w:cs="Gungsuh" w:eastAsia="Gungsuh" w:hAnsi="Gungsuh"/>
          <w:b w:val="1"/>
          <w:color w:val="000000"/>
          <w:sz w:val="22"/>
          <w:szCs w:val="22"/>
          <w:rtl w:val="0"/>
        </w:rPr>
        <w:t xml:space="preserve">Pruebas Mutantes — 40 casos (≈9.5%)</w:t>
      </w:r>
    </w:p>
    <w:p w:rsidR="00000000" w:rsidDel="00000000" w:rsidP="00000000" w:rsidRDefault="00000000" w:rsidRPr="00000000" w14:paraId="0000085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Estas pruebas introdujeron mutaciones en el código para evaluar la capacidad de detección de errores por parte de los casos de prueba existentes. Su objetivo fue validar la eficacia y robustez del conjunto de pruebas funcionales.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Alta en validación de efectividad de pruebas; soporte a la mantenibilidad del software.</w:t>
      </w:r>
    </w:p>
    <w:p w:rsidR="00000000" w:rsidDel="00000000" w:rsidP="00000000" w:rsidRDefault="00000000" w:rsidRPr="00000000" w14:paraId="00000855">
      <w:pPr>
        <w:pStyle w:val="Heading4"/>
        <w:keepNext w:val="0"/>
        <w:keepLines w:val="0"/>
        <w:numPr>
          <w:ilvl w:val="0"/>
          <w:numId w:val="1"/>
        </w:numPr>
        <w:spacing w:after="40" w:before="240" w:lineRule="auto"/>
        <w:ind w:left="720" w:hanging="360"/>
        <w:jc w:val="both"/>
        <w:rPr>
          <w:rFonts w:ascii="Times New Roman" w:cs="Times New Roman" w:eastAsia="Times New Roman" w:hAnsi="Times New Roman"/>
          <w:b w:val="1"/>
          <w:color w:val="000000"/>
          <w:sz w:val="22"/>
          <w:szCs w:val="22"/>
          <w:u w:val="none"/>
        </w:rPr>
      </w:pPr>
      <w:bookmarkStart w:colFirst="0" w:colLast="0" w:name="_fd9iqrnrxtfv" w:id="6"/>
      <w:bookmarkEnd w:id="6"/>
      <w:r w:rsidDel="00000000" w:rsidR="00000000" w:rsidRPr="00000000">
        <w:rPr>
          <w:rFonts w:ascii="Gungsuh" w:cs="Gungsuh" w:eastAsia="Gungsuh" w:hAnsi="Gungsuh"/>
          <w:b w:val="1"/>
          <w:color w:val="000000"/>
          <w:sz w:val="22"/>
          <w:szCs w:val="22"/>
          <w:rtl w:val="0"/>
        </w:rPr>
        <w:t xml:space="preserve">Pruebas de Endpoints REST — 24 casos (≈5.6%)</w:t>
      </w:r>
    </w:p>
    <w:p w:rsidR="00000000" w:rsidDel="00000000" w:rsidP="00000000" w:rsidRDefault="00000000" w:rsidRPr="00000000" w14:paraId="000008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validaron todos los métodos CRUD del backend, asegurando que las operaciones sobre proyectos, postulaciones, carreras, ODS y relaciones se </w:t>
      </w:r>
      <w:r w:rsidDel="00000000" w:rsidR="00000000" w:rsidRPr="00000000">
        <w:rPr>
          <w:rFonts w:ascii="Times New Roman" w:cs="Times New Roman" w:eastAsia="Times New Roman" w:hAnsi="Times New Roman"/>
          <w:rtl w:val="0"/>
        </w:rPr>
        <w:t xml:space="preserve">ejecutaran</w:t>
      </w:r>
      <w:r w:rsidDel="00000000" w:rsidR="00000000" w:rsidRPr="00000000">
        <w:rPr>
          <w:rFonts w:ascii="Times New Roman" w:cs="Times New Roman" w:eastAsia="Times New Roman" w:hAnsi="Times New Roman"/>
          <w:rtl w:val="0"/>
        </w:rPr>
        <w:t xml:space="preserve"> correctamente y que las respuestas fueran coherentes con los flujos del frontend.</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Cobertura:</w:t>
      </w:r>
      <w:r w:rsidDel="00000000" w:rsidR="00000000" w:rsidRPr="00000000">
        <w:rPr>
          <w:rFonts w:ascii="Times New Roman" w:cs="Times New Roman" w:eastAsia="Times New Roman" w:hAnsi="Times New Roman"/>
          <w:rtl w:val="0"/>
        </w:rPr>
        <w:t xml:space="preserve"> Alta en integridad de backend y comunicación cliente-servidor.</w:t>
      </w:r>
    </w:p>
    <w:p w:rsidR="00000000" w:rsidDel="00000000" w:rsidP="00000000" w:rsidRDefault="00000000" w:rsidRPr="00000000" w14:paraId="0000085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Conclusión de Análisis</w:t>
      </w:r>
    </w:p>
    <w:p w:rsidR="00000000" w:rsidDel="00000000" w:rsidP="00000000" w:rsidRDefault="00000000" w:rsidRPr="00000000" w14:paraId="0000085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proceso de validación de la plataforma de proyectos solidarios se caracterizó por una planificación exhaustiva y una ejecución detallada que integró diversos tipos de pruebas, permitiendo evaluar el sistema desde múltiples dimensiones: funcionalidad, experiencia de usuario, integración técnica y robustez lógica.</w:t>
      </w:r>
    </w:p>
    <w:p w:rsidR="00000000" w:rsidDel="00000000" w:rsidP="00000000" w:rsidRDefault="00000000" w:rsidRPr="00000000" w14:paraId="0000085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un total de 422 casos de prueba documentados y ejecutados, la cobertura alcanzada fue integral. Las 167 pruebas manuales bajo criterios como BICEP, CORRECT y RIGHT BICEP permitieron validar los flujos más relevantes para los usuarios, asegurando que cada acción —desde el inicio de sesión hasta la postulación y confirmación— funcionara correctamente bajo condiciones reales. Esto </w:t>
      </w:r>
      <w:r w:rsidDel="00000000" w:rsidR="00000000" w:rsidRPr="00000000">
        <w:rPr>
          <w:rFonts w:ascii="Times New Roman" w:cs="Times New Roman" w:eastAsia="Times New Roman" w:hAnsi="Times New Roman"/>
          <w:rtl w:val="0"/>
        </w:rPr>
        <w:t xml:space="preserve">garantizó</w:t>
      </w:r>
      <w:r w:rsidDel="00000000" w:rsidR="00000000" w:rsidRPr="00000000">
        <w:rPr>
          <w:rFonts w:ascii="Times New Roman" w:cs="Times New Roman" w:eastAsia="Times New Roman" w:hAnsi="Times New Roman"/>
          <w:rtl w:val="0"/>
        </w:rPr>
        <w:t xml:space="preserve"> la estabilidad y coherencia de las funcionalidades centrales.</w:t>
      </w:r>
    </w:p>
    <w:p w:rsidR="00000000" w:rsidDel="00000000" w:rsidP="00000000" w:rsidRDefault="00000000" w:rsidRPr="00000000" w14:paraId="0000085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Complementando esta validación funcional, se aplicaron 100 pruebas basadas en las heurísticas de usabilidad de Nielsen, asegurando que la interfaz de usuario no solo fuera funcional, sino también intuitiva, clara, eficiente y accesible. Estas pruebas fueron clave para elevar la calidad de la experiencia de uso, especialmente en contextos donde participan distintos tipos de usuarios como estudiantes, administradores y socios formadores.</w:t>
      </w:r>
    </w:p>
    <w:p w:rsidR="00000000" w:rsidDel="00000000" w:rsidP="00000000" w:rsidRDefault="00000000" w:rsidRPr="00000000" w14:paraId="0000085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se realizaron 86 pruebas de usuario en sesiones tipo Cámara de Gesell, donde se observó el uso real de la plataforma. Esta fase reveló importantes hallazgos sobre el entendimiento del sistema por parte de los usuarios, la claridad de la interfaz, y la capacidad de las personas para completar sus tareas sin asistencia. Esto no solo fortaleció la validación del diseño, sino que también sirvió como retroalimentación directa para mejorar ciertos detalles funcionales y visuales.</w:t>
      </w:r>
    </w:p>
    <w:p w:rsidR="00000000" w:rsidDel="00000000" w:rsidP="00000000" w:rsidRDefault="00000000" w:rsidRPr="00000000" w14:paraId="000008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el punto de vista técnico, se implementaron pruebas automatizadas de integración para validar la interacción con la API REST. Un total de 24 pruebas de endpoints comprobaron la correcta ejecución de operaciones CRUD sobre las entidades críticas, asegurando integridad en la base de datos y consistencia entre frontend y backend.</w:t>
      </w:r>
    </w:p>
    <w:p w:rsidR="00000000" w:rsidDel="00000000" w:rsidP="00000000" w:rsidRDefault="00000000" w:rsidRPr="00000000" w14:paraId="0000085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desarrollaron 40 pruebas mutantes, cuya finalidad fue evaluar la capacidad del plan de pruebas existente para detectar errores intencionalmente inyectados en el código. Los resultados demostraron que la mayoría de los casos de prueba eran suficientemente sólidos para detectar desviaciones, lo cual aumenta la confianza en la robustez de la validación realizada.</w:t>
      </w:r>
    </w:p>
    <w:p w:rsidR="00000000" w:rsidDel="00000000" w:rsidP="00000000" w:rsidRDefault="00000000" w:rsidRPr="00000000" w14:paraId="0000085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aunque en menor número, se integraron 5 pruebas usando Test Doubles (Dummy, Stub, Mock, Fake y Spy), que permitieron simular distintos escenarios complejos o poco frecuentes, aportando valor a la verificación de comportamientos internos en funciones críticas de la plataforma.</w:t>
      </w:r>
    </w:p>
    <w:p w:rsidR="00000000" w:rsidDel="00000000" w:rsidP="00000000" w:rsidRDefault="00000000" w:rsidRPr="00000000" w14:paraId="0000085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conjunto, este enfoque equilibrado entre pruebas manuales, automatizadas, técnicas y centradas en el usuario permitió alcanzar una cobertura superior al 90% de los aspectos críticos del sistema. La diversidad metodológica y la cantidad de pruebas aplicadas demuestran que el sistema fue evaluado no solo en términos de “si funciona”, sino también en “cómo se siente usarlo”, “qué tan seguro es”, y “cómo reacciona ante errores o condiciones extremas”.</w:t>
      </w:r>
    </w:p>
    <w:p w:rsidR="00000000" w:rsidDel="00000000" w:rsidP="00000000" w:rsidRDefault="00000000" w:rsidRPr="00000000" w14:paraId="000008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validación integral respalda la madurez funcional y técnica de la plataforma, y proporciona una base sólida para su liberación a usuarios reales en un entorno de producción, minimizando riesgos y fortaleciendo la confianza en su rendimiento, utilidad y escalabilidad futura.</w:t>
      </w:r>
    </w:p>
    <w:p w:rsidR="00000000" w:rsidDel="00000000" w:rsidP="00000000" w:rsidRDefault="00000000" w:rsidRPr="00000000" w14:paraId="00000861">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2">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5">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