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C8C" w:rsidRPr="009F2C8C" w:rsidRDefault="003F52A3" w:rsidP="009F2C8C">
      <w:pPr>
        <w:pStyle w:val="Caption"/>
        <w:keepNext/>
        <w:spacing w:after="240" w:line="312" w:lineRule="auto"/>
        <w:jc w:val="center"/>
        <w:rPr>
          <w:rFonts w:ascii="Times New Roman" w:hAnsi="Times New Roman" w:cs="Times New Roman"/>
          <w:b/>
          <w:i w:val="0"/>
          <w:color w:val="auto"/>
          <w:sz w:val="26"/>
          <w:szCs w:val="26"/>
          <w:lang w:val="en-US"/>
        </w:rPr>
      </w:pPr>
      <w:r>
        <w:rPr>
          <w:rFonts w:ascii="Times New Roman" w:hAnsi="Times New Roman" w:cs="Times New Roman"/>
          <w:b/>
          <w:i w:val="0"/>
          <w:color w:val="auto"/>
          <w:sz w:val="26"/>
          <w:szCs w:val="26"/>
          <w:lang w:val="en-US"/>
        </w:rPr>
        <w:t xml:space="preserve">Assumptions used in the </w:t>
      </w:r>
      <w:r w:rsidR="009F2C8C" w:rsidRPr="009F2C8C">
        <w:rPr>
          <w:rFonts w:ascii="Times New Roman" w:hAnsi="Times New Roman" w:cs="Times New Roman"/>
          <w:b/>
          <w:i w:val="0"/>
          <w:color w:val="auto"/>
          <w:sz w:val="26"/>
          <w:szCs w:val="26"/>
          <w:lang w:val="en-US"/>
        </w:rPr>
        <w:t>ONSSET online tool</w:t>
      </w:r>
    </w:p>
    <w:p w:rsidR="009E4358" w:rsidRPr="00547702" w:rsidRDefault="009E4358" w:rsidP="009E4358">
      <w:pPr>
        <w:pStyle w:val="Caption"/>
        <w:keepNext/>
        <w:rPr>
          <w:rFonts w:ascii="Times New Roman" w:hAnsi="Times New Roman" w:cs="Times New Roman"/>
          <w:b/>
          <w:i w:val="0"/>
          <w:color w:val="auto"/>
          <w:lang w:val="en-US"/>
        </w:rPr>
      </w:pPr>
      <w:r w:rsidRPr="00547702">
        <w:rPr>
          <w:rFonts w:ascii="Times New Roman" w:hAnsi="Times New Roman" w:cs="Times New Roman"/>
          <w:b/>
          <w:i w:val="0"/>
          <w:color w:val="auto"/>
          <w:lang w:val="en-US"/>
        </w:rPr>
        <w:t>Table</w:t>
      </w:r>
      <w:r w:rsidR="00C76A8B">
        <w:rPr>
          <w:rFonts w:ascii="Times New Roman" w:hAnsi="Times New Roman" w:cs="Times New Roman"/>
          <w:b/>
          <w:i w:val="0"/>
          <w:color w:val="auto"/>
          <w:lang w:val="en-US"/>
        </w:rPr>
        <w:t xml:space="preserve"> 1.</w:t>
      </w:r>
      <w:r w:rsidRPr="00547702">
        <w:rPr>
          <w:rFonts w:ascii="Times New Roman" w:hAnsi="Times New Roman" w:cs="Times New Roman"/>
          <w:b/>
          <w:i w:val="0"/>
          <w:color w:val="auto"/>
          <w:lang w:val="en-US"/>
        </w:rPr>
        <w:t xml:space="preserve"> Electricity generation technology parameters used in the model. Sources: </w:t>
      </w:r>
      <w:r w:rsidRPr="00547702">
        <w:rPr>
          <w:rFonts w:ascii="Times New Roman" w:hAnsi="Times New Roman" w:cs="Times New Roman"/>
          <w:b/>
          <w:i w:val="0"/>
          <w:color w:val="auto"/>
          <w:lang w:val="en-US"/>
        </w:rPr>
        <w:fldChar w:fldCharType="begin"/>
      </w:r>
      <w:r w:rsidRPr="00547702">
        <w:rPr>
          <w:rFonts w:ascii="Times New Roman" w:hAnsi="Times New Roman" w:cs="Times New Roman"/>
          <w:b/>
          <w:i w:val="0"/>
          <w:color w:val="auto"/>
          <w:lang w:val="en-US"/>
        </w:rPr>
        <w:instrText xml:space="preserve"> ADDIN ZOTERO_ITEM CSL_CITATION {"citationID":"1uj86klitv","properties":{"formattedCitation":"{\\rtf \\super 1\\uc0\\u8211{}4\\nosupersub{}}","plainCitation":"1–4"},"citationItems":[{"id":411,"uris":["http://zotero.org/users/local/e8NniAXZ/items/CXCVITG7"],"uri":["http://zotero.org/users/local/e8NniAXZ/items/CXCVITG7"],"itemData":{"id":411,"type":"webpage","title":"Energy Sector Management Assistance Program","URL":"https://esmap.org/dlmv698-3545","author":[{"family":"The World Bank","given":""}],"issued":{"date-parts":[["2016"]]}}},{"id":21,"uris":["http://zotero.org/users/local/e8NniAXZ/items/SB5PQWE2"],"uri":["http://zotero.org/users/local/e8NniAXZ/items/SB5PQWE2"],"itemData":{"id":21,"type":"report","title":"Renewable energy technologies: Cost analysis series, Wind Power","URL":"https://www.irena.org/DocumentDownloads/Publications/RE_Technologies_Cost_Analysis-WIND_POWER.pdf","author":[{"family":"IRENA","given":""}],"issued":{"date-parts":[["2012"]]},"accessed":{"date-parts":[["2015",6,15]]}}},{"id":282,"uris":["http://zotero.org/users/local/e8NniAXZ/items/E39BJ2XD"],"uri":["http://zotero.org/users/local/e8NniAXZ/items/E39BJ2XD"],"itemData":{"id":282,"type":"report","title":"Renewable energy technologies: Cost analysis series; Hydropower","URL":"http://www.irena.org/documentdownloads/publications/re_technologies_cost_analysis-hydropower.pdf","author":[{"family":"IRENA","given":""}],"issued":{"date-parts":[["2012"]]}}},{"id":409,"uris":["http://zotero.org/users/local/e8NniAXZ/items/HUCQCQ4X"],"uri":["http://zotero.org/users/local/e8NniAXZ/items/HUCQCQ4X"],"itemData":{"id":409,"type":"report","title":"Renewable Energy Technologies: Cost analysis series; Solar Photovoltaics","URL":"https://www.irena.org/DocumentDownloads/Publications/RE_Technologies_Cost_Analysis-SOLAR_PV.pdf","author":[{"family":"IRENA","given":""}],"issued":{"date-parts":[["2012"]]}}}],"schema":"https://github.com/citation-style-language/schema/raw/master/csl-citation.json"} </w:instrText>
      </w:r>
      <w:r w:rsidRPr="00547702">
        <w:rPr>
          <w:rFonts w:ascii="Times New Roman" w:hAnsi="Times New Roman" w:cs="Times New Roman"/>
          <w:b/>
          <w:i w:val="0"/>
          <w:color w:val="auto"/>
          <w:lang w:val="en-US"/>
        </w:rPr>
        <w:fldChar w:fldCharType="separate"/>
      </w:r>
      <w:r w:rsidRPr="00547702">
        <w:rPr>
          <w:rFonts w:ascii="Times New Roman" w:hAnsi="Times New Roman" w:cs="Times New Roman"/>
          <w:b/>
          <w:i w:val="0"/>
          <w:color w:val="auto"/>
          <w:szCs w:val="24"/>
          <w:vertAlign w:val="superscript"/>
          <w:lang w:val="en-US"/>
        </w:rPr>
        <w:t>1–4</w:t>
      </w:r>
      <w:r w:rsidRPr="00547702">
        <w:rPr>
          <w:rFonts w:ascii="Times New Roman" w:hAnsi="Times New Roman" w:cs="Times New Roman"/>
          <w:b/>
          <w:i w:val="0"/>
          <w:color w:val="auto"/>
          <w:lang w:val="en-US"/>
        </w:rPr>
        <w:fldChar w:fldCharType="end"/>
      </w:r>
    </w:p>
    <w:tbl>
      <w:tblPr>
        <w:tblStyle w:val="GridTable2-Accent5"/>
        <w:tblW w:w="9282" w:type="dxa"/>
        <w:jc w:val="center"/>
        <w:tblLook w:val="04A0" w:firstRow="1" w:lastRow="0" w:firstColumn="1" w:lastColumn="0" w:noHBand="0" w:noVBand="1"/>
      </w:tblPr>
      <w:tblGrid>
        <w:gridCol w:w="1428"/>
        <w:gridCol w:w="1166"/>
        <w:gridCol w:w="1326"/>
        <w:gridCol w:w="1530"/>
        <w:gridCol w:w="1180"/>
        <w:gridCol w:w="1734"/>
        <w:gridCol w:w="918"/>
      </w:tblGrid>
      <w:tr w:rsidR="00547702" w:rsidRPr="00547702" w:rsidTr="00756C19">
        <w:trPr>
          <w:cnfStyle w:val="100000000000" w:firstRow="1" w:lastRow="0" w:firstColumn="0" w:lastColumn="0" w:oddVBand="0" w:evenVBand="0" w:oddHBand="0"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428" w:type="dxa"/>
            <w:noWrap/>
            <w:vAlign w:val="center"/>
            <w:hideMark/>
          </w:tcPr>
          <w:p w:rsidR="00547702" w:rsidRPr="00547702" w:rsidRDefault="00547702" w:rsidP="009F2C8C">
            <w:pPr>
              <w:jc w:val="center"/>
              <w:rPr>
                <w:rFonts w:ascii="Times New Roman" w:hAnsi="Times New Roman" w:cs="Times New Roman"/>
                <w:b w:val="0"/>
                <w:sz w:val="18"/>
                <w:szCs w:val="18"/>
                <w:lang w:val="en-US"/>
              </w:rPr>
            </w:pPr>
            <w:r w:rsidRPr="00547702">
              <w:rPr>
                <w:rFonts w:ascii="Times New Roman" w:hAnsi="Times New Roman" w:cs="Times New Roman"/>
                <w:b w:val="0"/>
                <w:sz w:val="18"/>
                <w:szCs w:val="18"/>
                <w:lang w:val="en-US"/>
              </w:rPr>
              <w:t>Plant type</w:t>
            </w:r>
          </w:p>
        </w:tc>
        <w:tc>
          <w:tcPr>
            <w:tcW w:w="1166" w:type="dxa"/>
            <w:vAlign w:val="center"/>
          </w:tcPr>
          <w:p w:rsidR="00547702" w:rsidRPr="00547702" w:rsidRDefault="00547702" w:rsidP="009F2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lang w:val="en-US"/>
              </w:rPr>
            </w:pPr>
            <w:r w:rsidRPr="00547702">
              <w:rPr>
                <w:rFonts w:ascii="Times New Roman" w:hAnsi="Times New Roman" w:cs="Times New Roman"/>
                <w:b w:val="0"/>
                <w:sz w:val="18"/>
                <w:szCs w:val="18"/>
                <w:lang w:val="en-US"/>
              </w:rPr>
              <w:t>Plant capacity</w:t>
            </w:r>
          </w:p>
          <w:p w:rsidR="00547702" w:rsidRPr="00547702" w:rsidRDefault="00547702" w:rsidP="009F2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b w:val="0"/>
                <w:sz w:val="18"/>
                <w:szCs w:val="18"/>
                <w:lang w:val="en-US"/>
              </w:rPr>
              <w:t>(kW)</w:t>
            </w:r>
          </w:p>
        </w:tc>
        <w:tc>
          <w:tcPr>
            <w:tcW w:w="1326" w:type="dxa"/>
            <w:noWrap/>
            <w:vAlign w:val="center"/>
            <w:hideMark/>
          </w:tcPr>
          <w:p w:rsidR="00547702" w:rsidRPr="00547702" w:rsidRDefault="00547702" w:rsidP="009F2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lang w:val="en-US"/>
              </w:rPr>
            </w:pPr>
            <w:r w:rsidRPr="00547702">
              <w:rPr>
                <w:rFonts w:ascii="Times New Roman" w:hAnsi="Times New Roman" w:cs="Times New Roman"/>
                <w:b w:val="0"/>
                <w:sz w:val="18"/>
                <w:szCs w:val="18"/>
                <w:lang w:val="en-US"/>
              </w:rPr>
              <w:t>Investment cost ($/kW)</w:t>
            </w:r>
          </w:p>
        </w:tc>
        <w:tc>
          <w:tcPr>
            <w:tcW w:w="1530" w:type="dxa"/>
            <w:noWrap/>
            <w:vAlign w:val="center"/>
            <w:hideMark/>
          </w:tcPr>
          <w:p w:rsidR="00547702" w:rsidRPr="00547702" w:rsidRDefault="00547702" w:rsidP="009F2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lang w:val="en-US"/>
              </w:rPr>
            </w:pPr>
            <w:r w:rsidRPr="00547702">
              <w:rPr>
                <w:rFonts w:ascii="Times New Roman" w:hAnsi="Times New Roman" w:cs="Times New Roman"/>
                <w:b w:val="0"/>
                <w:sz w:val="18"/>
                <w:szCs w:val="18"/>
                <w:lang w:val="en-US"/>
              </w:rPr>
              <w:t>O&amp;M costs (% of investment cost/year)</w:t>
            </w:r>
          </w:p>
        </w:tc>
        <w:tc>
          <w:tcPr>
            <w:tcW w:w="1180" w:type="dxa"/>
            <w:noWrap/>
            <w:vAlign w:val="center"/>
            <w:hideMark/>
          </w:tcPr>
          <w:p w:rsidR="00547702" w:rsidRPr="00547702" w:rsidRDefault="00547702" w:rsidP="009F2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lang w:val="en-US"/>
              </w:rPr>
            </w:pPr>
            <w:r w:rsidRPr="00547702">
              <w:rPr>
                <w:rFonts w:ascii="Times New Roman" w:hAnsi="Times New Roman" w:cs="Times New Roman"/>
                <w:b w:val="0"/>
                <w:sz w:val="18"/>
                <w:szCs w:val="18"/>
                <w:lang w:val="en-US"/>
              </w:rPr>
              <w:t>Efficiency</w:t>
            </w:r>
          </w:p>
        </w:tc>
        <w:tc>
          <w:tcPr>
            <w:tcW w:w="1734" w:type="dxa"/>
            <w:vAlign w:val="center"/>
          </w:tcPr>
          <w:p w:rsidR="00547702" w:rsidRPr="00547702" w:rsidRDefault="00547702" w:rsidP="009F2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lang w:val="en-US"/>
              </w:rPr>
            </w:pPr>
            <w:r w:rsidRPr="00547702">
              <w:rPr>
                <w:rFonts w:ascii="Times New Roman" w:hAnsi="Times New Roman" w:cs="Times New Roman"/>
                <w:b w:val="0"/>
                <w:sz w:val="18"/>
                <w:szCs w:val="18"/>
                <w:lang w:val="en-US"/>
              </w:rPr>
              <w:t>Capacity factor</w:t>
            </w:r>
          </w:p>
        </w:tc>
        <w:tc>
          <w:tcPr>
            <w:tcW w:w="918" w:type="dxa"/>
            <w:noWrap/>
            <w:vAlign w:val="center"/>
            <w:hideMark/>
          </w:tcPr>
          <w:p w:rsidR="00547702" w:rsidRPr="00547702" w:rsidRDefault="00547702" w:rsidP="009F2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8"/>
                <w:szCs w:val="18"/>
                <w:lang w:val="en-US"/>
              </w:rPr>
            </w:pPr>
            <w:r w:rsidRPr="00547702">
              <w:rPr>
                <w:rFonts w:ascii="Times New Roman" w:hAnsi="Times New Roman" w:cs="Times New Roman"/>
                <w:b w:val="0"/>
                <w:sz w:val="18"/>
                <w:szCs w:val="18"/>
                <w:lang w:val="en-US"/>
              </w:rPr>
              <w:t>Life (years)</w:t>
            </w:r>
          </w:p>
        </w:tc>
      </w:tr>
      <w:tr w:rsidR="00547702" w:rsidRPr="00547702" w:rsidTr="00756C19">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428" w:type="dxa"/>
            <w:noWrap/>
            <w:vAlign w:val="center"/>
            <w:hideMark/>
          </w:tcPr>
          <w:p w:rsidR="00547702" w:rsidRPr="00547702" w:rsidRDefault="00547702" w:rsidP="009F2C8C">
            <w:pPr>
              <w:jc w:val="center"/>
              <w:rPr>
                <w:rFonts w:ascii="Times New Roman" w:hAnsi="Times New Roman" w:cs="Times New Roman"/>
                <w:b w:val="0"/>
                <w:sz w:val="18"/>
                <w:szCs w:val="18"/>
                <w:lang w:val="en-US"/>
              </w:rPr>
            </w:pPr>
            <w:r w:rsidRPr="00547702">
              <w:rPr>
                <w:rFonts w:ascii="Times New Roman" w:hAnsi="Times New Roman" w:cs="Times New Roman"/>
                <w:sz w:val="18"/>
                <w:szCs w:val="18"/>
                <w:lang w:val="en-US"/>
              </w:rPr>
              <w:t xml:space="preserve">Diesel </w:t>
            </w:r>
            <w:proofErr w:type="spellStart"/>
            <w:r w:rsidRPr="00547702">
              <w:rPr>
                <w:rFonts w:ascii="Times New Roman" w:hAnsi="Times New Roman" w:cs="Times New Roman"/>
                <w:sz w:val="18"/>
                <w:szCs w:val="18"/>
                <w:lang w:val="en-US"/>
              </w:rPr>
              <w:t>Genset</w:t>
            </w:r>
            <w:proofErr w:type="spellEnd"/>
            <w:r w:rsidRPr="00547702">
              <w:rPr>
                <w:rFonts w:ascii="Times New Roman" w:hAnsi="Times New Roman" w:cs="Times New Roman"/>
                <w:b w:val="0"/>
                <w:sz w:val="18"/>
                <w:szCs w:val="18"/>
                <w:lang w:val="en-US"/>
              </w:rPr>
              <w:t xml:space="preserve"> </w:t>
            </w:r>
            <w:r w:rsidR="008263B5">
              <w:rPr>
                <w:rFonts w:ascii="Times New Roman" w:hAnsi="Times New Roman" w:cs="Times New Roman"/>
                <w:b w:val="0"/>
                <w:sz w:val="18"/>
                <w:szCs w:val="18"/>
                <w:lang w:val="en-US"/>
              </w:rPr>
              <w:t>Micro</w:t>
            </w:r>
            <w:r w:rsidRPr="00547702">
              <w:rPr>
                <w:rFonts w:ascii="Times New Roman" w:hAnsi="Times New Roman" w:cs="Times New Roman"/>
                <w:b w:val="0"/>
                <w:sz w:val="18"/>
                <w:szCs w:val="18"/>
                <w:lang w:val="en-US"/>
              </w:rPr>
              <w:t xml:space="preserve"> Grid</w:t>
            </w:r>
          </w:p>
        </w:tc>
        <w:tc>
          <w:tcPr>
            <w:tcW w:w="1166" w:type="dxa"/>
            <w:vAlign w:val="center"/>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100</w:t>
            </w:r>
          </w:p>
        </w:tc>
        <w:tc>
          <w:tcPr>
            <w:tcW w:w="1326" w:type="dxa"/>
            <w:noWrap/>
            <w:vAlign w:val="center"/>
            <w:hideMark/>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721</w:t>
            </w:r>
          </w:p>
        </w:tc>
        <w:tc>
          <w:tcPr>
            <w:tcW w:w="1530" w:type="dxa"/>
            <w:noWrap/>
            <w:vAlign w:val="center"/>
            <w:hideMark/>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10%</w:t>
            </w:r>
          </w:p>
        </w:tc>
        <w:tc>
          <w:tcPr>
            <w:tcW w:w="1180" w:type="dxa"/>
            <w:noWrap/>
            <w:vAlign w:val="center"/>
            <w:hideMark/>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33%</w:t>
            </w:r>
          </w:p>
        </w:tc>
        <w:tc>
          <w:tcPr>
            <w:tcW w:w="1734" w:type="dxa"/>
            <w:vAlign w:val="center"/>
          </w:tcPr>
          <w:p w:rsidR="00547702" w:rsidRPr="00547702" w:rsidRDefault="004A1E59"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0.7</w:t>
            </w:r>
          </w:p>
        </w:tc>
        <w:tc>
          <w:tcPr>
            <w:tcW w:w="918" w:type="dxa"/>
            <w:noWrap/>
            <w:vAlign w:val="center"/>
            <w:hideMark/>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15</w:t>
            </w:r>
          </w:p>
        </w:tc>
      </w:tr>
      <w:tr w:rsidR="00547702" w:rsidRPr="00547702" w:rsidTr="00756C19">
        <w:trPr>
          <w:trHeight w:val="355"/>
          <w:jc w:val="center"/>
        </w:trPr>
        <w:tc>
          <w:tcPr>
            <w:cnfStyle w:val="001000000000" w:firstRow="0" w:lastRow="0" w:firstColumn="1" w:lastColumn="0" w:oddVBand="0" w:evenVBand="0" w:oddHBand="0" w:evenHBand="0" w:firstRowFirstColumn="0" w:firstRowLastColumn="0" w:lastRowFirstColumn="0" w:lastRowLastColumn="0"/>
            <w:tcW w:w="1428" w:type="dxa"/>
            <w:noWrap/>
            <w:vAlign w:val="center"/>
            <w:hideMark/>
          </w:tcPr>
          <w:p w:rsidR="00547702" w:rsidRPr="00547702" w:rsidRDefault="00547702" w:rsidP="009F2C8C">
            <w:pPr>
              <w:jc w:val="center"/>
              <w:rPr>
                <w:rFonts w:ascii="Times New Roman" w:hAnsi="Times New Roman" w:cs="Times New Roman"/>
                <w:sz w:val="18"/>
                <w:szCs w:val="18"/>
                <w:lang w:val="en-US"/>
              </w:rPr>
            </w:pPr>
            <w:r w:rsidRPr="00547702">
              <w:rPr>
                <w:rFonts w:ascii="Times New Roman" w:hAnsi="Times New Roman" w:cs="Times New Roman"/>
                <w:sz w:val="18"/>
                <w:szCs w:val="18"/>
                <w:lang w:val="en-US"/>
              </w:rPr>
              <w:t>Small Hydro</w:t>
            </w:r>
          </w:p>
          <w:p w:rsidR="00547702" w:rsidRPr="00547702" w:rsidRDefault="008263B5" w:rsidP="009F2C8C">
            <w:pPr>
              <w:jc w:val="center"/>
              <w:rPr>
                <w:rFonts w:ascii="Times New Roman" w:hAnsi="Times New Roman" w:cs="Times New Roman"/>
                <w:b w:val="0"/>
                <w:sz w:val="18"/>
                <w:szCs w:val="18"/>
                <w:lang w:val="en-US"/>
              </w:rPr>
            </w:pPr>
            <w:r>
              <w:rPr>
                <w:rFonts w:ascii="Times New Roman" w:hAnsi="Times New Roman" w:cs="Times New Roman"/>
                <w:b w:val="0"/>
                <w:sz w:val="18"/>
                <w:szCs w:val="18"/>
                <w:lang w:val="en-US"/>
              </w:rPr>
              <w:t>Micro</w:t>
            </w:r>
            <w:r w:rsidR="00547702" w:rsidRPr="00547702">
              <w:rPr>
                <w:rFonts w:ascii="Times New Roman" w:hAnsi="Times New Roman" w:cs="Times New Roman"/>
                <w:b w:val="0"/>
                <w:sz w:val="18"/>
                <w:szCs w:val="18"/>
                <w:lang w:val="en-US"/>
              </w:rPr>
              <w:t xml:space="preserve"> Grid</w:t>
            </w:r>
          </w:p>
        </w:tc>
        <w:tc>
          <w:tcPr>
            <w:tcW w:w="1166" w:type="dxa"/>
            <w:vAlign w:val="center"/>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100</w:t>
            </w:r>
            <w:r w:rsidR="001D785A">
              <w:rPr>
                <w:rFonts w:ascii="Times New Roman" w:hAnsi="Times New Roman" w:cs="Times New Roman"/>
                <w:sz w:val="18"/>
                <w:szCs w:val="18"/>
                <w:lang w:val="en-US"/>
              </w:rPr>
              <w:t>0</w:t>
            </w:r>
          </w:p>
        </w:tc>
        <w:tc>
          <w:tcPr>
            <w:tcW w:w="1326" w:type="dxa"/>
            <w:noWrap/>
            <w:vAlign w:val="center"/>
            <w:hideMark/>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5000</w:t>
            </w:r>
          </w:p>
        </w:tc>
        <w:tc>
          <w:tcPr>
            <w:tcW w:w="1530" w:type="dxa"/>
            <w:noWrap/>
            <w:vAlign w:val="center"/>
            <w:hideMark/>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2%</w:t>
            </w:r>
          </w:p>
        </w:tc>
        <w:tc>
          <w:tcPr>
            <w:tcW w:w="1180" w:type="dxa"/>
            <w:noWrap/>
            <w:vAlign w:val="center"/>
            <w:hideMark/>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w:t>
            </w:r>
          </w:p>
        </w:tc>
        <w:tc>
          <w:tcPr>
            <w:tcW w:w="1734" w:type="dxa"/>
            <w:vAlign w:val="center"/>
          </w:tcPr>
          <w:p w:rsidR="00547702" w:rsidRPr="00547702" w:rsidRDefault="004A1E59"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0.5</w:t>
            </w:r>
          </w:p>
        </w:tc>
        <w:tc>
          <w:tcPr>
            <w:tcW w:w="918" w:type="dxa"/>
            <w:noWrap/>
            <w:vAlign w:val="center"/>
            <w:hideMark/>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30</w:t>
            </w:r>
          </w:p>
        </w:tc>
      </w:tr>
      <w:tr w:rsidR="00547702" w:rsidRPr="00547702" w:rsidTr="00756C19">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428" w:type="dxa"/>
            <w:noWrap/>
            <w:vAlign w:val="center"/>
            <w:hideMark/>
          </w:tcPr>
          <w:p w:rsidR="00547702" w:rsidRPr="00547702" w:rsidRDefault="00547702" w:rsidP="009F2C8C">
            <w:pPr>
              <w:jc w:val="center"/>
              <w:rPr>
                <w:rFonts w:ascii="Times New Roman" w:hAnsi="Times New Roman" w:cs="Times New Roman"/>
                <w:b w:val="0"/>
                <w:sz w:val="18"/>
                <w:szCs w:val="18"/>
                <w:lang w:val="en-US"/>
              </w:rPr>
            </w:pPr>
            <w:r w:rsidRPr="00547702">
              <w:rPr>
                <w:rFonts w:ascii="Times New Roman" w:hAnsi="Times New Roman" w:cs="Times New Roman"/>
                <w:sz w:val="18"/>
                <w:szCs w:val="18"/>
                <w:lang w:val="en-US"/>
              </w:rPr>
              <w:t>Solar PV</w:t>
            </w:r>
          </w:p>
          <w:p w:rsidR="00547702" w:rsidRPr="00547702" w:rsidRDefault="008263B5" w:rsidP="009F2C8C">
            <w:pPr>
              <w:jc w:val="center"/>
              <w:rPr>
                <w:rFonts w:ascii="Times New Roman" w:hAnsi="Times New Roman" w:cs="Times New Roman"/>
                <w:b w:val="0"/>
                <w:sz w:val="18"/>
                <w:szCs w:val="18"/>
                <w:lang w:val="en-US"/>
              </w:rPr>
            </w:pPr>
            <w:r>
              <w:rPr>
                <w:rFonts w:ascii="Times New Roman" w:hAnsi="Times New Roman" w:cs="Times New Roman"/>
                <w:b w:val="0"/>
                <w:sz w:val="18"/>
                <w:szCs w:val="18"/>
                <w:lang w:val="en-US"/>
              </w:rPr>
              <w:t xml:space="preserve">Micro </w:t>
            </w:r>
            <w:r w:rsidR="00547702" w:rsidRPr="00547702">
              <w:rPr>
                <w:rFonts w:ascii="Times New Roman" w:hAnsi="Times New Roman" w:cs="Times New Roman"/>
                <w:b w:val="0"/>
                <w:sz w:val="18"/>
                <w:szCs w:val="18"/>
                <w:lang w:val="en-US"/>
              </w:rPr>
              <w:t>Grid</w:t>
            </w:r>
          </w:p>
        </w:tc>
        <w:tc>
          <w:tcPr>
            <w:tcW w:w="1166" w:type="dxa"/>
            <w:vAlign w:val="center"/>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100</w:t>
            </w:r>
          </w:p>
        </w:tc>
        <w:tc>
          <w:tcPr>
            <w:tcW w:w="1326" w:type="dxa"/>
            <w:noWrap/>
            <w:vAlign w:val="center"/>
            <w:hideMark/>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4300</w:t>
            </w:r>
          </w:p>
        </w:tc>
        <w:tc>
          <w:tcPr>
            <w:tcW w:w="1530" w:type="dxa"/>
            <w:noWrap/>
            <w:vAlign w:val="center"/>
            <w:hideMark/>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2%</w:t>
            </w:r>
          </w:p>
        </w:tc>
        <w:tc>
          <w:tcPr>
            <w:tcW w:w="1180" w:type="dxa"/>
            <w:noWrap/>
            <w:vAlign w:val="center"/>
            <w:hideMark/>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w:t>
            </w:r>
          </w:p>
        </w:tc>
        <w:tc>
          <w:tcPr>
            <w:tcW w:w="1734" w:type="dxa"/>
            <w:vAlign w:val="center"/>
          </w:tcPr>
          <w:p w:rsidR="00547702" w:rsidRPr="00547702" w:rsidRDefault="004A1E59"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Obtained for each grid point</w:t>
            </w:r>
            <w:r w:rsidR="00756C19">
              <w:rPr>
                <w:rFonts w:ascii="Times New Roman" w:hAnsi="Times New Roman" w:cs="Times New Roman"/>
                <w:sz w:val="18"/>
                <w:szCs w:val="18"/>
                <w:lang w:val="en-US"/>
              </w:rPr>
              <w:t xml:space="preserve"> depending on solar availability</w:t>
            </w:r>
          </w:p>
        </w:tc>
        <w:tc>
          <w:tcPr>
            <w:tcW w:w="918" w:type="dxa"/>
            <w:noWrap/>
            <w:vAlign w:val="center"/>
            <w:hideMark/>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20</w:t>
            </w:r>
          </w:p>
        </w:tc>
      </w:tr>
      <w:tr w:rsidR="00547702" w:rsidRPr="00547702" w:rsidTr="00756C19">
        <w:trPr>
          <w:trHeight w:val="355"/>
          <w:jc w:val="center"/>
        </w:trPr>
        <w:tc>
          <w:tcPr>
            <w:cnfStyle w:val="001000000000" w:firstRow="0" w:lastRow="0" w:firstColumn="1" w:lastColumn="0" w:oddVBand="0" w:evenVBand="0" w:oddHBand="0" w:evenHBand="0" w:firstRowFirstColumn="0" w:firstRowLastColumn="0" w:lastRowFirstColumn="0" w:lastRowLastColumn="0"/>
            <w:tcW w:w="1428" w:type="dxa"/>
            <w:noWrap/>
            <w:vAlign w:val="center"/>
            <w:hideMark/>
          </w:tcPr>
          <w:p w:rsidR="00547702" w:rsidRPr="00547702" w:rsidRDefault="00547702" w:rsidP="008263B5">
            <w:pPr>
              <w:jc w:val="center"/>
              <w:rPr>
                <w:rFonts w:ascii="Times New Roman" w:hAnsi="Times New Roman" w:cs="Times New Roman"/>
                <w:b w:val="0"/>
                <w:sz w:val="18"/>
                <w:szCs w:val="18"/>
                <w:lang w:val="en-US"/>
              </w:rPr>
            </w:pPr>
            <w:r w:rsidRPr="00547702">
              <w:rPr>
                <w:rFonts w:ascii="Times New Roman" w:hAnsi="Times New Roman" w:cs="Times New Roman"/>
                <w:sz w:val="18"/>
                <w:szCs w:val="18"/>
                <w:lang w:val="en-US"/>
              </w:rPr>
              <w:t>Wind Turbines</w:t>
            </w:r>
            <w:r w:rsidRPr="00547702">
              <w:rPr>
                <w:rFonts w:ascii="Times New Roman" w:hAnsi="Times New Roman" w:cs="Times New Roman"/>
                <w:b w:val="0"/>
                <w:sz w:val="18"/>
                <w:szCs w:val="18"/>
                <w:lang w:val="en-US"/>
              </w:rPr>
              <w:t xml:space="preserve"> </w:t>
            </w:r>
            <w:r w:rsidR="008263B5">
              <w:rPr>
                <w:rFonts w:ascii="Times New Roman" w:hAnsi="Times New Roman" w:cs="Times New Roman"/>
                <w:b w:val="0"/>
                <w:sz w:val="18"/>
                <w:szCs w:val="18"/>
                <w:lang w:val="en-US"/>
              </w:rPr>
              <w:t>Micro</w:t>
            </w:r>
            <w:r w:rsidRPr="00547702">
              <w:rPr>
                <w:rFonts w:ascii="Times New Roman" w:hAnsi="Times New Roman" w:cs="Times New Roman"/>
                <w:b w:val="0"/>
                <w:sz w:val="18"/>
                <w:szCs w:val="18"/>
                <w:lang w:val="en-US"/>
              </w:rPr>
              <w:t xml:space="preserve"> Grid</w:t>
            </w:r>
          </w:p>
        </w:tc>
        <w:tc>
          <w:tcPr>
            <w:tcW w:w="1166" w:type="dxa"/>
            <w:vAlign w:val="center"/>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100</w:t>
            </w:r>
          </w:p>
        </w:tc>
        <w:tc>
          <w:tcPr>
            <w:tcW w:w="1326" w:type="dxa"/>
            <w:noWrap/>
            <w:vAlign w:val="center"/>
            <w:hideMark/>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2500</w:t>
            </w:r>
          </w:p>
        </w:tc>
        <w:tc>
          <w:tcPr>
            <w:tcW w:w="1530" w:type="dxa"/>
            <w:noWrap/>
            <w:vAlign w:val="center"/>
            <w:hideMark/>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2%</w:t>
            </w:r>
          </w:p>
        </w:tc>
        <w:tc>
          <w:tcPr>
            <w:tcW w:w="1180" w:type="dxa"/>
            <w:noWrap/>
            <w:vAlign w:val="center"/>
            <w:hideMark/>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w:t>
            </w:r>
          </w:p>
        </w:tc>
        <w:tc>
          <w:tcPr>
            <w:tcW w:w="1734" w:type="dxa"/>
            <w:vAlign w:val="center"/>
          </w:tcPr>
          <w:p w:rsidR="00547702" w:rsidRPr="00547702" w:rsidRDefault="008263B5"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 xml:space="preserve">0.2 - </w:t>
            </w:r>
            <w:r w:rsidR="00937FA7">
              <w:rPr>
                <w:rFonts w:ascii="Times New Roman" w:hAnsi="Times New Roman" w:cs="Times New Roman"/>
                <w:sz w:val="18"/>
                <w:szCs w:val="18"/>
                <w:lang w:val="en-US"/>
              </w:rPr>
              <w:t>0.4</w:t>
            </w:r>
          </w:p>
        </w:tc>
        <w:tc>
          <w:tcPr>
            <w:tcW w:w="918" w:type="dxa"/>
            <w:noWrap/>
            <w:vAlign w:val="center"/>
            <w:hideMark/>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20</w:t>
            </w:r>
          </w:p>
        </w:tc>
      </w:tr>
      <w:tr w:rsidR="00547702" w:rsidRPr="00547702" w:rsidTr="00756C19">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428" w:type="dxa"/>
            <w:noWrap/>
            <w:vAlign w:val="center"/>
            <w:hideMark/>
          </w:tcPr>
          <w:p w:rsidR="00547702" w:rsidRPr="00547702" w:rsidRDefault="00547702" w:rsidP="009F2C8C">
            <w:pPr>
              <w:jc w:val="center"/>
              <w:rPr>
                <w:rFonts w:ascii="Times New Roman" w:hAnsi="Times New Roman" w:cs="Times New Roman"/>
                <w:b w:val="0"/>
                <w:sz w:val="18"/>
                <w:szCs w:val="18"/>
                <w:lang w:val="en-US"/>
              </w:rPr>
            </w:pPr>
            <w:r w:rsidRPr="00547702">
              <w:rPr>
                <w:rFonts w:ascii="Times New Roman" w:hAnsi="Times New Roman" w:cs="Times New Roman"/>
                <w:sz w:val="18"/>
                <w:szCs w:val="18"/>
                <w:lang w:val="en-US"/>
              </w:rPr>
              <w:t xml:space="preserve">Diesel </w:t>
            </w:r>
            <w:proofErr w:type="spellStart"/>
            <w:r w:rsidRPr="00547702">
              <w:rPr>
                <w:rFonts w:ascii="Times New Roman" w:hAnsi="Times New Roman" w:cs="Times New Roman"/>
                <w:sz w:val="18"/>
                <w:szCs w:val="18"/>
                <w:lang w:val="en-US"/>
              </w:rPr>
              <w:t>Genset</w:t>
            </w:r>
            <w:proofErr w:type="spellEnd"/>
            <w:r w:rsidRPr="00547702">
              <w:rPr>
                <w:rFonts w:ascii="Times New Roman" w:hAnsi="Times New Roman" w:cs="Times New Roman"/>
                <w:b w:val="0"/>
                <w:sz w:val="18"/>
                <w:szCs w:val="18"/>
                <w:lang w:val="en-US"/>
              </w:rPr>
              <w:t xml:space="preserve"> Stand Alone</w:t>
            </w:r>
          </w:p>
        </w:tc>
        <w:tc>
          <w:tcPr>
            <w:tcW w:w="1166" w:type="dxa"/>
            <w:vAlign w:val="center"/>
          </w:tcPr>
          <w:p w:rsidR="00547702" w:rsidRPr="00547702" w:rsidRDefault="008263B5"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1</w:t>
            </w:r>
          </w:p>
        </w:tc>
        <w:tc>
          <w:tcPr>
            <w:tcW w:w="1326" w:type="dxa"/>
            <w:noWrap/>
            <w:vAlign w:val="center"/>
            <w:hideMark/>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938</w:t>
            </w:r>
          </w:p>
        </w:tc>
        <w:tc>
          <w:tcPr>
            <w:tcW w:w="1530" w:type="dxa"/>
            <w:noWrap/>
            <w:vAlign w:val="center"/>
            <w:hideMark/>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10%</w:t>
            </w:r>
          </w:p>
        </w:tc>
        <w:tc>
          <w:tcPr>
            <w:tcW w:w="1180" w:type="dxa"/>
            <w:noWrap/>
            <w:vAlign w:val="center"/>
            <w:hideMark/>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28%</w:t>
            </w:r>
          </w:p>
        </w:tc>
        <w:tc>
          <w:tcPr>
            <w:tcW w:w="1734" w:type="dxa"/>
            <w:vAlign w:val="center"/>
          </w:tcPr>
          <w:p w:rsidR="00547702" w:rsidRPr="00547702" w:rsidRDefault="004A1E59"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0.5</w:t>
            </w:r>
          </w:p>
        </w:tc>
        <w:tc>
          <w:tcPr>
            <w:tcW w:w="918" w:type="dxa"/>
            <w:noWrap/>
            <w:vAlign w:val="center"/>
            <w:hideMark/>
          </w:tcPr>
          <w:p w:rsidR="00547702" w:rsidRPr="00547702" w:rsidRDefault="00547702"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10</w:t>
            </w:r>
          </w:p>
        </w:tc>
      </w:tr>
      <w:tr w:rsidR="00547702" w:rsidRPr="00547702" w:rsidTr="00756C19">
        <w:trPr>
          <w:trHeight w:val="355"/>
          <w:jc w:val="center"/>
        </w:trPr>
        <w:tc>
          <w:tcPr>
            <w:cnfStyle w:val="001000000000" w:firstRow="0" w:lastRow="0" w:firstColumn="1" w:lastColumn="0" w:oddVBand="0" w:evenVBand="0" w:oddHBand="0" w:evenHBand="0" w:firstRowFirstColumn="0" w:firstRowLastColumn="0" w:lastRowFirstColumn="0" w:lastRowLastColumn="0"/>
            <w:tcW w:w="1428" w:type="dxa"/>
            <w:noWrap/>
            <w:vAlign w:val="center"/>
            <w:hideMark/>
          </w:tcPr>
          <w:p w:rsidR="00547702" w:rsidRPr="00547702" w:rsidRDefault="00547702" w:rsidP="009F2C8C">
            <w:pPr>
              <w:jc w:val="center"/>
              <w:rPr>
                <w:rFonts w:ascii="Times New Roman" w:hAnsi="Times New Roman" w:cs="Times New Roman"/>
                <w:sz w:val="18"/>
                <w:szCs w:val="18"/>
                <w:lang w:val="en-US"/>
              </w:rPr>
            </w:pPr>
            <w:r w:rsidRPr="00547702">
              <w:rPr>
                <w:rFonts w:ascii="Times New Roman" w:hAnsi="Times New Roman" w:cs="Times New Roman"/>
                <w:sz w:val="18"/>
                <w:szCs w:val="18"/>
                <w:lang w:val="en-US"/>
              </w:rPr>
              <w:t>Solar PV</w:t>
            </w:r>
          </w:p>
          <w:p w:rsidR="00547702" w:rsidRPr="00547702" w:rsidRDefault="00547702" w:rsidP="009F2C8C">
            <w:pPr>
              <w:jc w:val="center"/>
              <w:rPr>
                <w:rFonts w:ascii="Times New Roman" w:hAnsi="Times New Roman" w:cs="Times New Roman"/>
                <w:b w:val="0"/>
                <w:sz w:val="18"/>
                <w:szCs w:val="18"/>
                <w:lang w:val="en-US"/>
              </w:rPr>
            </w:pPr>
            <w:r w:rsidRPr="00547702">
              <w:rPr>
                <w:rFonts w:ascii="Times New Roman" w:hAnsi="Times New Roman" w:cs="Times New Roman"/>
                <w:b w:val="0"/>
                <w:sz w:val="18"/>
                <w:szCs w:val="18"/>
                <w:lang w:val="en-US"/>
              </w:rPr>
              <w:t>Stand Alone</w:t>
            </w:r>
          </w:p>
        </w:tc>
        <w:tc>
          <w:tcPr>
            <w:tcW w:w="1166" w:type="dxa"/>
            <w:vAlign w:val="center"/>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0.3</w:t>
            </w:r>
          </w:p>
        </w:tc>
        <w:tc>
          <w:tcPr>
            <w:tcW w:w="1326" w:type="dxa"/>
            <w:noWrap/>
            <w:vAlign w:val="center"/>
            <w:hideMark/>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5500</w:t>
            </w:r>
          </w:p>
        </w:tc>
        <w:tc>
          <w:tcPr>
            <w:tcW w:w="1530" w:type="dxa"/>
            <w:noWrap/>
            <w:vAlign w:val="center"/>
            <w:hideMark/>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2%</w:t>
            </w:r>
          </w:p>
        </w:tc>
        <w:tc>
          <w:tcPr>
            <w:tcW w:w="1180" w:type="dxa"/>
            <w:noWrap/>
            <w:vAlign w:val="center"/>
            <w:hideMark/>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w:t>
            </w:r>
          </w:p>
        </w:tc>
        <w:tc>
          <w:tcPr>
            <w:tcW w:w="1734" w:type="dxa"/>
            <w:vAlign w:val="center"/>
          </w:tcPr>
          <w:p w:rsidR="00547702" w:rsidRPr="00547702" w:rsidRDefault="00756C19"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Obtained for each grid point depending on solar availability</w:t>
            </w:r>
          </w:p>
        </w:tc>
        <w:tc>
          <w:tcPr>
            <w:tcW w:w="918" w:type="dxa"/>
            <w:noWrap/>
            <w:vAlign w:val="center"/>
            <w:hideMark/>
          </w:tcPr>
          <w:p w:rsidR="00547702" w:rsidRPr="00547702" w:rsidRDefault="00547702"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547702">
              <w:rPr>
                <w:rFonts w:ascii="Times New Roman" w:hAnsi="Times New Roman" w:cs="Times New Roman"/>
                <w:sz w:val="18"/>
                <w:szCs w:val="18"/>
                <w:lang w:val="en-US"/>
              </w:rPr>
              <w:t>15</w:t>
            </w:r>
          </w:p>
        </w:tc>
      </w:tr>
    </w:tbl>
    <w:p w:rsidR="00510ADD" w:rsidRPr="00547702" w:rsidRDefault="00510ADD">
      <w:pPr>
        <w:rPr>
          <w:rFonts w:ascii="Times New Roman" w:hAnsi="Times New Roman" w:cs="Times New Roman"/>
          <w:lang w:val="en-US"/>
        </w:rPr>
      </w:pPr>
    </w:p>
    <w:p w:rsidR="009E4358" w:rsidRPr="00547702" w:rsidRDefault="009E4358" w:rsidP="009E4358">
      <w:pPr>
        <w:pStyle w:val="Caption"/>
        <w:keepNext/>
        <w:rPr>
          <w:rFonts w:ascii="Times New Roman" w:hAnsi="Times New Roman" w:cs="Times New Roman"/>
          <w:b/>
          <w:i w:val="0"/>
          <w:color w:val="auto"/>
          <w:lang w:val="en-US"/>
        </w:rPr>
      </w:pPr>
      <w:r w:rsidRPr="00547702">
        <w:rPr>
          <w:rFonts w:ascii="Times New Roman" w:hAnsi="Times New Roman" w:cs="Times New Roman"/>
          <w:b/>
          <w:i w:val="0"/>
          <w:color w:val="auto"/>
          <w:lang w:val="en-US"/>
        </w:rPr>
        <w:t>Table</w:t>
      </w:r>
      <w:r w:rsidR="00C76A8B">
        <w:rPr>
          <w:rFonts w:ascii="Times New Roman" w:hAnsi="Times New Roman" w:cs="Times New Roman"/>
          <w:b/>
          <w:i w:val="0"/>
          <w:color w:val="auto"/>
          <w:lang w:val="en-US"/>
        </w:rPr>
        <w:t xml:space="preserve"> 2.</w:t>
      </w:r>
      <w:r w:rsidRPr="00547702">
        <w:rPr>
          <w:rFonts w:ascii="Times New Roman" w:hAnsi="Times New Roman" w:cs="Times New Roman"/>
          <w:b/>
          <w:i w:val="0"/>
          <w:color w:val="auto"/>
          <w:lang w:val="en-US"/>
        </w:rPr>
        <w:t xml:space="preserve"> </w:t>
      </w:r>
      <w:r w:rsidRPr="00547702">
        <w:rPr>
          <w:rFonts w:ascii="Times New Roman" w:hAnsi="Times New Roman" w:cs="Times New Roman"/>
          <w:b/>
          <w:bCs/>
          <w:i w:val="0"/>
          <w:color w:val="auto"/>
          <w:lang w:val="en-US"/>
        </w:rPr>
        <w:t xml:space="preserve">Transmission and distribution costs in the model. Sources: </w:t>
      </w:r>
      <w:r w:rsidRPr="00547702">
        <w:rPr>
          <w:rFonts w:ascii="Times New Roman" w:hAnsi="Times New Roman" w:cs="Times New Roman"/>
          <w:b/>
          <w:bCs/>
          <w:i w:val="0"/>
          <w:color w:val="auto"/>
          <w:lang w:val="en-US"/>
        </w:rPr>
        <w:fldChar w:fldCharType="begin"/>
      </w:r>
      <w:r w:rsidRPr="00547702">
        <w:rPr>
          <w:rFonts w:ascii="Times New Roman" w:hAnsi="Times New Roman" w:cs="Times New Roman"/>
          <w:b/>
          <w:bCs/>
          <w:i w:val="0"/>
          <w:color w:val="auto"/>
          <w:lang w:val="en-US"/>
        </w:rPr>
        <w:instrText xml:space="preserve"> ADDIN ZOTERO_ITEM CSL_CITATION {"citationID":"114fm0lduq","properties":{"formattedCitation":"{\\rtf \\super 1,5\\nosupersub{}}","plainCitation":"1,5"},"citationItems":[{"id":331,"uris":["http://zotero.org/users/local/e8NniAXZ/items/8URFZ6XF"],"uri":["http://zotero.org/users/local/e8NniAXZ/items/8URFZ6XF"],"itemData":{"id":331,"type":"article-journal","title":"A cost comparison of technology approaches for improving access to electricity services","container-title":"Energy","page":"255-265","volume":"95","source":"ScienceDirect","abstract":"The UN's Sustainable Energy For All initiative has made universal access to energy by 2030 a key target. Countries wherein budgets are constrained and institutions stressed are faced with the challenge of further extending energy services – and doing so significantly. To meet this goal for the power sector in a cost-effective way, governments have to consider the deployment of a mix of stand-alone, mini-grid and grid-based solutions. To help inform analysis, planning and the decision process, this paper presents a simple, transparent, least-cost model for the electrification of rural areas. The approach builds on four key parameters, namely: (i) target level and quality of energy access, (ii) population density, (iii) local grid connection characteristics and (iv) local energy resources availability and technology cost. From an application perspective, this work can be used both for (1) fast assessments of specific energy access projects, and (2) to inform more complex regional studies using a geo-referencing software to analyze the results. Such applications are presented in the results using country case studies developed for Nigeria and Ethiopia. These show how the strategy for expanding energy access may vary significantly both between and within given regions of energy-poor countries.","DOI":"10.1016/j.energy.2015.11.068","ISSN":"0360-5442","journalAbbreviation":"Energy","author":[{"family":"Nerini","given":"Francesco Fuso"},{"family":"Broad","given":"Oliver"},{"family":"Mentis","given":"Dimitris"},{"family":"Welsch","given":"Manuel"},{"family":"Bazilian","given":"Morgan"},{"family":"Howells","given":"Mark"}],"issued":{"date-parts":[["2016",1,15]]}}},{"id":411,"uris":["http://zotero.org/users/local/e8NniAXZ/items/CXCVITG7"],"uri":["http://zotero.org/users/local/e8NniAXZ/items/CXCVITG7"],"itemData":{"id":411,"type":"webpage","title":"Energy Sector Management Assistance Program","URL":"https://esmap.org/dlmv698-3545","author":[{"family":"The World Bank","given":""}],"issued":{"date-parts":[["2016"]]}}}],"schema":"https://github.com/citation-style-language/schema/raw/master/csl-citation.json"} </w:instrText>
      </w:r>
      <w:r w:rsidRPr="00547702">
        <w:rPr>
          <w:rFonts w:ascii="Times New Roman" w:hAnsi="Times New Roman" w:cs="Times New Roman"/>
          <w:b/>
          <w:bCs/>
          <w:i w:val="0"/>
          <w:color w:val="auto"/>
          <w:lang w:val="en-US"/>
        </w:rPr>
        <w:fldChar w:fldCharType="separate"/>
      </w:r>
      <w:r w:rsidRPr="00547702">
        <w:rPr>
          <w:rFonts w:ascii="Times New Roman" w:hAnsi="Times New Roman" w:cs="Times New Roman"/>
          <w:b/>
          <w:i w:val="0"/>
          <w:color w:val="auto"/>
          <w:szCs w:val="24"/>
          <w:vertAlign w:val="superscript"/>
          <w:lang w:val="en-US"/>
        </w:rPr>
        <w:t>1,5</w:t>
      </w:r>
      <w:r w:rsidRPr="00547702">
        <w:rPr>
          <w:rFonts w:ascii="Times New Roman" w:hAnsi="Times New Roman" w:cs="Times New Roman"/>
          <w:b/>
          <w:bCs/>
          <w:i w:val="0"/>
          <w:color w:val="auto"/>
          <w:lang w:val="en-US"/>
        </w:rPr>
        <w:fldChar w:fldCharType="end"/>
      </w:r>
    </w:p>
    <w:tbl>
      <w:tblPr>
        <w:tblStyle w:val="GridTable2-Accent5"/>
        <w:tblW w:w="0" w:type="auto"/>
        <w:tblInd w:w="450" w:type="dxa"/>
        <w:tblLook w:val="04A0" w:firstRow="1" w:lastRow="0" w:firstColumn="1" w:lastColumn="0" w:noHBand="0" w:noVBand="1"/>
      </w:tblPr>
      <w:tblGrid>
        <w:gridCol w:w="3510"/>
        <w:gridCol w:w="666"/>
        <w:gridCol w:w="1710"/>
      </w:tblGrid>
      <w:tr w:rsidR="00D9435F" w:rsidRPr="00937FA7" w:rsidTr="009F2C8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510" w:type="dxa"/>
            <w:noWrap/>
            <w:vAlign w:val="center"/>
            <w:hideMark/>
          </w:tcPr>
          <w:p w:rsidR="000B0F3E" w:rsidRPr="00937FA7" w:rsidRDefault="000B0F3E" w:rsidP="009F2C8C">
            <w:pPr>
              <w:jc w:val="center"/>
              <w:rPr>
                <w:rFonts w:ascii="Times New Roman" w:hAnsi="Times New Roman" w:cs="Times New Roman"/>
                <w:sz w:val="18"/>
                <w:szCs w:val="18"/>
                <w:lang w:val="en-US"/>
              </w:rPr>
            </w:pPr>
            <w:r w:rsidRPr="00937FA7">
              <w:rPr>
                <w:rFonts w:ascii="Times New Roman" w:hAnsi="Times New Roman" w:cs="Times New Roman"/>
                <w:sz w:val="18"/>
                <w:szCs w:val="18"/>
                <w:lang w:val="en-US"/>
              </w:rPr>
              <w:t>Parameter</w:t>
            </w:r>
          </w:p>
        </w:tc>
        <w:tc>
          <w:tcPr>
            <w:tcW w:w="540" w:type="dxa"/>
            <w:noWrap/>
            <w:vAlign w:val="center"/>
            <w:hideMark/>
          </w:tcPr>
          <w:p w:rsidR="000B0F3E" w:rsidRPr="00937FA7" w:rsidRDefault="000B0F3E" w:rsidP="009F2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Value</w:t>
            </w:r>
          </w:p>
        </w:tc>
        <w:tc>
          <w:tcPr>
            <w:tcW w:w="1710" w:type="dxa"/>
            <w:noWrap/>
            <w:vAlign w:val="center"/>
            <w:hideMark/>
          </w:tcPr>
          <w:p w:rsidR="000B0F3E" w:rsidRPr="00937FA7" w:rsidRDefault="000B0F3E" w:rsidP="009F2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Unit</w:t>
            </w:r>
          </w:p>
        </w:tc>
      </w:tr>
      <w:tr w:rsidR="00D9435F" w:rsidRPr="00937FA7" w:rsidTr="009F2C8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510" w:type="dxa"/>
            <w:noWrap/>
            <w:vAlign w:val="center"/>
          </w:tcPr>
          <w:p w:rsidR="009E4358" w:rsidRPr="00937FA7" w:rsidRDefault="009E4358" w:rsidP="009F2C8C">
            <w:pPr>
              <w:jc w:val="center"/>
              <w:rPr>
                <w:rFonts w:ascii="Times New Roman" w:hAnsi="Times New Roman" w:cs="Times New Roman"/>
                <w:b w:val="0"/>
                <w:sz w:val="18"/>
                <w:szCs w:val="18"/>
                <w:lang w:val="en-US"/>
              </w:rPr>
            </w:pPr>
            <w:r w:rsidRPr="00937FA7">
              <w:rPr>
                <w:rFonts w:ascii="Times New Roman" w:hAnsi="Times New Roman" w:cs="Times New Roman"/>
                <w:b w:val="0"/>
                <w:sz w:val="18"/>
                <w:szCs w:val="18"/>
                <w:lang w:val="en-US"/>
              </w:rPr>
              <w:t>Life</w:t>
            </w:r>
          </w:p>
        </w:tc>
        <w:tc>
          <w:tcPr>
            <w:tcW w:w="540" w:type="dxa"/>
            <w:noWrap/>
            <w:vAlign w:val="center"/>
          </w:tcPr>
          <w:p w:rsidR="009E4358" w:rsidRPr="00937FA7" w:rsidRDefault="009E435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30</w:t>
            </w:r>
          </w:p>
        </w:tc>
        <w:tc>
          <w:tcPr>
            <w:tcW w:w="1710" w:type="dxa"/>
            <w:noWrap/>
            <w:vAlign w:val="center"/>
          </w:tcPr>
          <w:p w:rsidR="009E4358" w:rsidRPr="00937FA7" w:rsidRDefault="009E435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Years</w:t>
            </w:r>
          </w:p>
        </w:tc>
      </w:tr>
      <w:tr w:rsidR="00D9435F" w:rsidRPr="00937FA7" w:rsidTr="009F2C8C">
        <w:trPr>
          <w:trHeight w:val="290"/>
        </w:trPr>
        <w:tc>
          <w:tcPr>
            <w:cnfStyle w:val="001000000000" w:firstRow="0" w:lastRow="0" w:firstColumn="1" w:lastColumn="0" w:oddVBand="0" w:evenVBand="0" w:oddHBand="0" w:evenHBand="0" w:firstRowFirstColumn="0" w:firstRowLastColumn="0" w:lastRowFirstColumn="0" w:lastRowLastColumn="0"/>
            <w:tcW w:w="3510" w:type="dxa"/>
            <w:noWrap/>
            <w:vAlign w:val="center"/>
            <w:hideMark/>
          </w:tcPr>
          <w:p w:rsidR="009E4358" w:rsidRPr="00937FA7" w:rsidRDefault="009E4358" w:rsidP="009F2C8C">
            <w:pPr>
              <w:jc w:val="center"/>
              <w:rPr>
                <w:rFonts w:ascii="Times New Roman" w:hAnsi="Times New Roman" w:cs="Times New Roman"/>
                <w:b w:val="0"/>
                <w:sz w:val="18"/>
                <w:szCs w:val="18"/>
                <w:lang w:val="en-US"/>
              </w:rPr>
            </w:pPr>
            <w:r w:rsidRPr="00937FA7">
              <w:rPr>
                <w:rFonts w:ascii="Times New Roman" w:hAnsi="Times New Roman" w:cs="Times New Roman"/>
                <w:b w:val="0"/>
                <w:sz w:val="18"/>
                <w:szCs w:val="18"/>
                <w:lang w:val="en-US"/>
              </w:rPr>
              <w:t>HV line cost (108 kV)</w:t>
            </w:r>
          </w:p>
        </w:tc>
        <w:tc>
          <w:tcPr>
            <w:tcW w:w="540" w:type="dxa"/>
            <w:noWrap/>
            <w:vAlign w:val="center"/>
            <w:hideMark/>
          </w:tcPr>
          <w:p w:rsidR="009E4358" w:rsidRPr="00937FA7" w:rsidRDefault="009E435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53000</w:t>
            </w:r>
          </w:p>
        </w:tc>
        <w:tc>
          <w:tcPr>
            <w:tcW w:w="1710" w:type="dxa"/>
            <w:noWrap/>
            <w:vAlign w:val="center"/>
            <w:hideMark/>
          </w:tcPr>
          <w:p w:rsidR="009E4358" w:rsidRPr="00937FA7" w:rsidRDefault="009E435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USD/km</w:t>
            </w:r>
          </w:p>
        </w:tc>
      </w:tr>
      <w:tr w:rsidR="00D9435F" w:rsidRPr="00937FA7" w:rsidTr="009F2C8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510" w:type="dxa"/>
            <w:noWrap/>
            <w:vAlign w:val="center"/>
            <w:hideMark/>
          </w:tcPr>
          <w:p w:rsidR="009E4358" w:rsidRPr="00937FA7" w:rsidRDefault="009E4358" w:rsidP="009F2C8C">
            <w:pPr>
              <w:jc w:val="center"/>
              <w:rPr>
                <w:rFonts w:ascii="Times New Roman" w:hAnsi="Times New Roman" w:cs="Times New Roman"/>
                <w:b w:val="0"/>
                <w:sz w:val="18"/>
                <w:szCs w:val="18"/>
                <w:lang w:val="en-US"/>
              </w:rPr>
            </w:pPr>
            <w:r w:rsidRPr="00937FA7">
              <w:rPr>
                <w:rFonts w:ascii="Times New Roman" w:hAnsi="Times New Roman" w:cs="Times New Roman"/>
                <w:b w:val="0"/>
                <w:sz w:val="18"/>
                <w:szCs w:val="18"/>
                <w:lang w:val="en-US"/>
              </w:rPr>
              <w:t>HV line cost (69 kV)</w:t>
            </w:r>
          </w:p>
        </w:tc>
        <w:tc>
          <w:tcPr>
            <w:tcW w:w="540" w:type="dxa"/>
            <w:noWrap/>
            <w:vAlign w:val="center"/>
            <w:hideMark/>
          </w:tcPr>
          <w:p w:rsidR="009E4358" w:rsidRPr="00937FA7" w:rsidRDefault="009E435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28000</w:t>
            </w:r>
          </w:p>
        </w:tc>
        <w:tc>
          <w:tcPr>
            <w:tcW w:w="1710" w:type="dxa"/>
            <w:noWrap/>
            <w:vAlign w:val="center"/>
            <w:hideMark/>
          </w:tcPr>
          <w:p w:rsidR="009E4358" w:rsidRPr="00937FA7" w:rsidRDefault="009E435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USD/km</w:t>
            </w:r>
          </w:p>
        </w:tc>
      </w:tr>
      <w:tr w:rsidR="00D9435F" w:rsidRPr="00937FA7" w:rsidTr="009F2C8C">
        <w:trPr>
          <w:trHeight w:val="290"/>
        </w:trPr>
        <w:tc>
          <w:tcPr>
            <w:cnfStyle w:val="001000000000" w:firstRow="0" w:lastRow="0" w:firstColumn="1" w:lastColumn="0" w:oddVBand="0" w:evenVBand="0" w:oddHBand="0" w:evenHBand="0" w:firstRowFirstColumn="0" w:firstRowLastColumn="0" w:lastRowFirstColumn="0" w:lastRowLastColumn="0"/>
            <w:tcW w:w="3510" w:type="dxa"/>
            <w:noWrap/>
            <w:vAlign w:val="center"/>
            <w:hideMark/>
          </w:tcPr>
          <w:p w:rsidR="009E4358" w:rsidRPr="00937FA7" w:rsidRDefault="009E4358" w:rsidP="009F2C8C">
            <w:pPr>
              <w:jc w:val="center"/>
              <w:rPr>
                <w:rFonts w:ascii="Times New Roman" w:hAnsi="Times New Roman" w:cs="Times New Roman"/>
                <w:b w:val="0"/>
                <w:sz w:val="18"/>
                <w:szCs w:val="18"/>
                <w:lang w:val="en-US"/>
              </w:rPr>
            </w:pPr>
            <w:r w:rsidRPr="00937FA7">
              <w:rPr>
                <w:rFonts w:ascii="Times New Roman" w:hAnsi="Times New Roman" w:cs="Times New Roman"/>
                <w:b w:val="0"/>
                <w:sz w:val="18"/>
                <w:szCs w:val="18"/>
                <w:lang w:val="en-US"/>
              </w:rPr>
              <w:t>MV line cost (33 kV)</w:t>
            </w:r>
          </w:p>
        </w:tc>
        <w:tc>
          <w:tcPr>
            <w:tcW w:w="540" w:type="dxa"/>
            <w:noWrap/>
            <w:vAlign w:val="center"/>
            <w:hideMark/>
          </w:tcPr>
          <w:p w:rsidR="009E4358" w:rsidRPr="00937FA7" w:rsidRDefault="009E435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9000</w:t>
            </w:r>
          </w:p>
        </w:tc>
        <w:tc>
          <w:tcPr>
            <w:tcW w:w="1710" w:type="dxa"/>
            <w:noWrap/>
            <w:vAlign w:val="center"/>
            <w:hideMark/>
          </w:tcPr>
          <w:p w:rsidR="009E4358" w:rsidRPr="00937FA7" w:rsidRDefault="009E435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USD/km</w:t>
            </w:r>
          </w:p>
        </w:tc>
      </w:tr>
      <w:tr w:rsidR="00D9435F" w:rsidRPr="00937FA7" w:rsidTr="009F2C8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510" w:type="dxa"/>
            <w:noWrap/>
            <w:vAlign w:val="center"/>
            <w:hideMark/>
          </w:tcPr>
          <w:p w:rsidR="009E4358" w:rsidRPr="00937FA7" w:rsidRDefault="009E4358" w:rsidP="009F2C8C">
            <w:pPr>
              <w:jc w:val="center"/>
              <w:rPr>
                <w:rFonts w:ascii="Times New Roman" w:hAnsi="Times New Roman" w:cs="Times New Roman"/>
                <w:b w:val="0"/>
                <w:sz w:val="18"/>
                <w:szCs w:val="18"/>
                <w:lang w:val="en-US"/>
              </w:rPr>
            </w:pPr>
            <w:r w:rsidRPr="00937FA7">
              <w:rPr>
                <w:rFonts w:ascii="Times New Roman" w:hAnsi="Times New Roman" w:cs="Times New Roman"/>
                <w:b w:val="0"/>
                <w:sz w:val="18"/>
                <w:szCs w:val="18"/>
                <w:lang w:val="en-US"/>
              </w:rPr>
              <w:t>LV line cost (0.2 kV)</w:t>
            </w:r>
          </w:p>
        </w:tc>
        <w:tc>
          <w:tcPr>
            <w:tcW w:w="540" w:type="dxa"/>
            <w:noWrap/>
            <w:vAlign w:val="center"/>
            <w:hideMark/>
          </w:tcPr>
          <w:p w:rsidR="009E4358" w:rsidRPr="00937FA7" w:rsidRDefault="009E435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5000</w:t>
            </w:r>
          </w:p>
        </w:tc>
        <w:tc>
          <w:tcPr>
            <w:tcW w:w="1710" w:type="dxa"/>
            <w:noWrap/>
            <w:vAlign w:val="center"/>
            <w:hideMark/>
          </w:tcPr>
          <w:p w:rsidR="009E4358" w:rsidRPr="00937FA7" w:rsidRDefault="009E435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USD/km</w:t>
            </w:r>
          </w:p>
        </w:tc>
      </w:tr>
      <w:tr w:rsidR="00D9435F" w:rsidRPr="00937FA7" w:rsidTr="009F2C8C">
        <w:trPr>
          <w:trHeight w:val="290"/>
        </w:trPr>
        <w:tc>
          <w:tcPr>
            <w:cnfStyle w:val="001000000000" w:firstRow="0" w:lastRow="0" w:firstColumn="1" w:lastColumn="0" w:oddVBand="0" w:evenVBand="0" w:oddHBand="0" w:evenHBand="0" w:firstRowFirstColumn="0" w:firstRowLastColumn="0" w:lastRowFirstColumn="0" w:lastRowLastColumn="0"/>
            <w:tcW w:w="3510" w:type="dxa"/>
            <w:noWrap/>
            <w:vAlign w:val="center"/>
            <w:hideMark/>
          </w:tcPr>
          <w:p w:rsidR="009E4358" w:rsidRPr="00937FA7" w:rsidRDefault="00937FA7" w:rsidP="009F2C8C">
            <w:pPr>
              <w:jc w:val="center"/>
              <w:rPr>
                <w:rFonts w:ascii="Times New Roman" w:hAnsi="Times New Roman" w:cs="Times New Roman"/>
                <w:b w:val="0"/>
                <w:sz w:val="18"/>
                <w:szCs w:val="18"/>
                <w:lang w:val="en-US"/>
              </w:rPr>
            </w:pPr>
            <w:r w:rsidRPr="00937FA7">
              <w:rPr>
                <w:rFonts w:ascii="Times New Roman" w:hAnsi="Times New Roman" w:cs="Times New Roman"/>
                <w:b w:val="0"/>
                <w:sz w:val="18"/>
                <w:szCs w:val="18"/>
                <w:lang w:val="en-US"/>
              </w:rPr>
              <w:t>Transformers</w:t>
            </w:r>
          </w:p>
        </w:tc>
        <w:tc>
          <w:tcPr>
            <w:tcW w:w="540" w:type="dxa"/>
            <w:noWrap/>
            <w:vAlign w:val="center"/>
            <w:hideMark/>
          </w:tcPr>
          <w:p w:rsidR="009E4358" w:rsidRPr="00937FA7" w:rsidRDefault="009E435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5000</w:t>
            </w:r>
          </w:p>
        </w:tc>
        <w:tc>
          <w:tcPr>
            <w:tcW w:w="1710" w:type="dxa"/>
            <w:noWrap/>
            <w:vAlign w:val="center"/>
            <w:hideMark/>
          </w:tcPr>
          <w:p w:rsidR="009E4358" w:rsidRPr="00937FA7" w:rsidRDefault="009E435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USD/50 kVA</w:t>
            </w:r>
          </w:p>
        </w:tc>
      </w:tr>
      <w:tr w:rsidR="00D9435F" w:rsidRPr="00937FA7" w:rsidTr="009F2C8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510" w:type="dxa"/>
            <w:noWrap/>
            <w:vAlign w:val="center"/>
            <w:hideMark/>
          </w:tcPr>
          <w:p w:rsidR="009E4358" w:rsidRPr="00937FA7" w:rsidRDefault="009E4358" w:rsidP="009F2C8C">
            <w:pPr>
              <w:jc w:val="center"/>
              <w:rPr>
                <w:rFonts w:ascii="Times New Roman" w:hAnsi="Times New Roman" w:cs="Times New Roman"/>
                <w:b w:val="0"/>
                <w:sz w:val="18"/>
                <w:szCs w:val="18"/>
                <w:lang w:val="en-US"/>
              </w:rPr>
            </w:pPr>
            <w:r w:rsidRPr="00937FA7">
              <w:rPr>
                <w:rFonts w:ascii="Times New Roman" w:hAnsi="Times New Roman" w:cs="Times New Roman"/>
                <w:b w:val="0"/>
                <w:sz w:val="18"/>
                <w:szCs w:val="18"/>
                <w:lang w:val="en-US"/>
              </w:rPr>
              <w:t>Additional connection cost per household connected to gird</w:t>
            </w:r>
          </w:p>
        </w:tc>
        <w:tc>
          <w:tcPr>
            <w:tcW w:w="540" w:type="dxa"/>
            <w:noWrap/>
            <w:vAlign w:val="center"/>
            <w:hideMark/>
          </w:tcPr>
          <w:p w:rsidR="009E4358" w:rsidRPr="00937FA7" w:rsidRDefault="009E435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125</w:t>
            </w:r>
          </w:p>
        </w:tc>
        <w:tc>
          <w:tcPr>
            <w:tcW w:w="1710" w:type="dxa"/>
            <w:noWrap/>
            <w:vAlign w:val="center"/>
            <w:hideMark/>
          </w:tcPr>
          <w:p w:rsidR="009E4358" w:rsidRPr="00937FA7" w:rsidRDefault="009E435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USD/HH</w:t>
            </w:r>
          </w:p>
        </w:tc>
      </w:tr>
      <w:tr w:rsidR="00D9435F" w:rsidRPr="00937FA7" w:rsidTr="009F2C8C">
        <w:trPr>
          <w:trHeight w:val="290"/>
        </w:trPr>
        <w:tc>
          <w:tcPr>
            <w:cnfStyle w:val="001000000000" w:firstRow="0" w:lastRow="0" w:firstColumn="1" w:lastColumn="0" w:oddVBand="0" w:evenVBand="0" w:oddHBand="0" w:evenHBand="0" w:firstRowFirstColumn="0" w:firstRowLastColumn="0" w:lastRowFirstColumn="0" w:lastRowLastColumn="0"/>
            <w:tcW w:w="3510" w:type="dxa"/>
            <w:noWrap/>
            <w:vAlign w:val="center"/>
            <w:hideMark/>
          </w:tcPr>
          <w:p w:rsidR="009E4358" w:rsidRPr="00937FA7" w:rsidRDefault="009E4358" w:rsidP="009F2C8C">
            <w:pPr>
              <w:jc w:val="center"/>
              <w:rPr>
                <w:rFonts w:ascii="Times New Roman" w:hAnsi="Times New Roman" w:cs="Times New Roman"/>
                <w:b w:val="0"/>
                <w:sz w:val="18"/>
                <w:szCs w:val="18"/>
                <w:lang w:val="en-US"/>
              </w:rPr>
            </w:pPr>
            <w:r w:rsidRPr="00937FA7">
              <w:rPr>
                <w:rFonts w:ascii="Times New Roman" w:hAnsi="Times New Roman" w:cs="Times New Roman"/>
                <w:b w:val="0"/>
                <w:sz w:val="18"/>
                <w:szCs w:val="18"/>
                <w:lang w:val="en-US"/>
              </w:rPr>
              <w:t>Additional connection cost per household connected with mini grid</w:t>
            </w:r>
          </w:p>
        </w:tc>
        <w:tc>
          <w:tcPr>
            <w:tcW w:w="540" w:type="dxa"/>
            <w:noWrap/>
            <w:vAlign w:val="center"/>
            <w:hideMark/>
          </w:tcPr>
          <w:p w:rsidR="009E4358" w:rsidRPr="00937FA7" w:rsidRDefault="009E435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100</w:t>
            </w:r>
          </w:p>
        </w:tc>
        <w:tc>
          <w:tcPr>
            <w:tcW w:w="1710" w:type="dxa"/>
            <w:noWrap/>
            <w:vAlign w:val="center"/>
            <w:hideMark/>
          </w:tcPr>
          <w:p w:rsidR="009E4358" w:rsidRPr="00937FA7" w:rsidRDefault="009E435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USD/HH</w:t>
            </w:r>
          </w:p>
        </w:tc>
      </w:tr>
      <w:tr w:rsidR="00D9435F" w:rsidRPr="00937FA7" w:rsidTr="009F2C8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510" w:type="dxa"/>
            <w:noWrap/>
            <w:vAlign w:val="center"/>
            <w:hideMark/>
          </w:tcPr>
          <w:p w:rsidR="009E4358" w:rsidRPr="00937FA7" w:rsidRDefault="009E4358" w:rsidP="009F2C8C">
            <w:pPr>
              <w:jc w:val="center"/>
              <w:rPr>
                <w:rFonts w:ascii="Times New Roman" w:hAnsi="Times New Roman" w:cs="Times New Roman"/>
                <w:b w:val="0"/>
                <w:sz w:val="18"/>
                <w:szCs w:val="18"/>
                <w:lang w:val="en-US"/>
              </w:rPr>
            </w:pPr>
            <w:r w:rsidRPr="00937FA7">
              <w:rPr>
                <w:rFonts w:ascii="Times New Roman" w:hAnsi="Times New Roman" w:cs="Times New Roman"/>
                <w:b w:val="0"/>
                <w:sz w:val="18"/>
                <w:szCs w:val="18"/>
                <w:lang w:val="en-US"/>
              </w:rPr>
              <w:t>T&amp;D losses</w:t>
            </w:r>
          </w:p>
        </w:tc>
        <w:tc>
          <w:tcPr>
            <w:tcW w:w="540" w:type="dxa"/>
            <w:noWrap/>
            <w:vAlign w:val="center"/>
            <w:hideMark/>
          </w:tcPr>
          <w:p w:rsidR="009E4358" w:rsidRPr="00937FA7" w:rsidRDefault="009E435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10%</w:t>
            </w:r>
          </w:p>
        </w:tc>
        <w:tc>
          <w:tcPr>
            <w:tcW w:w="1710" w:type="dxa"/>
            <w:noWrap/>
            <w:vAlign w:val="center"/>
            <w:hideMark/>
          </w:tcPr>
          <w:p w:rsidR="009E4358" w:rsidRPr="00937FA7" w:rsidRDefault="009E435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of capital cost/year</w:t>
            </w:r>
          </w:p>
        </w:tc>
      </w:tr>
      <w:tr w:rsidR="00D9435F" w:rsidRPr="00937FA7" w:rsidTr="009F2C8C">
        <w:trPr>
          <w:trHeight w:val="290"/>
        </w:trPr>
        <w:tc>
          <w:tcPr>
            <w:cnfStyle w:val="001000000000" w:firstRow="0" w:lastRow="0" w:firstColumn="1" w:lastColumn="0" w:oddVBand="0" w:evenVBand="0" w:oddHBand="0" w:evenHBand="0" w:firstRowFirstColumn="0" w:firstRowLastColumn="0" w:lastRowFirstColumn="0" w:lastRowLastColumn="0"/>
            <w:tcW w:w="3510" w:type="dxa"/>
            <w:noWrap/>
            <w:vAlign w:val="center"/>
            <w:hideMark/>
          </w:tcPr>
          <w:p w:rsidR="009E4358" w:rsidRPr="00937FA7" w:rsidRDefault="009E4358" w:rsidP="009F2C8C">
            <w:pPr>
              <w:jc w:val="center"/>
              <w:rPr>
                <w:rFonts w:ascii="Times New Roman" w:hAnsi="Times New Roman" w:cs="Times New Roman"/>
                <w:b w:val="0"/>
                <w:sz w:val="18"/>
                <w:szCs w:val="18"/>
                <w:lang w:val="en-US"/>
              </w:rPr>
            </w:pPr>
            <w:r w:rsidRPr="00937FA7">
              <w:rPr>
                <w:rFonts w:ascii="Times New Roman" w:hAnsi="Times New Roman" w:cs="Times New Roman"/>
                <w:b w:val="0"/>
                <w:sz w:val="18"/>
                <w:szCs w:val="18"/>
                <w:lang w:val="en-US"/>
              </w:rPr>
              <w:t>O&amp;M costs of distribution</w:t>
            </w:r>
          </w:p>
        </w:tc>
        <w:tc>
          <w:tcPr>
            <w:tcW w:w="540" w:type="dxa"/>
            <w:noWrap/>
            <w:vAlign w:val="center"/>
            <w:hideMark/>
          </w:tcPr>
          <w:p w:rsidR="009E4358" w:rsidRPr="00937FA7" w:rsidRDefault="009E435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2%</w:t>
            </w:r>
          </w:p>
        </w:tc>
        <w:tc>
          <w:tcPr>
            <w:tcW w:w="1710" w:type="dxa"/>
            <w:noWrap/>
            <w:vAlign w:val="center"/>
            <w:hideMark/>
          </w:tcPr>
          <w:p w:rsidR="009E4358" w:rsidRPr="00937FA7" w:rsidRDefault="009E435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of capital cost/year</w:t>
            </w:r>
          </w:p>
        </w:tc>
      </w:tr>
    </w:tbl>
    <w:p w:rsidR="00C76A8B" w:rsidRPr="00547702" w:rsidRDefault="00C76A8B" w:rsidP="00C76A8B">
      <w:pPr>
        <w:rPr>
          <w:rFonts w:ascii="Times New Roman" w:hAnsi="Times New Roman" w:cs="Times New Roman"/>
          <w:lang w:val="en-US"/>
        </w:rPr>
      </w:pPr>
    </w:p>
    <w:p w:rsidR="009E4358" w:rsidRPr="00547702" w:rsidRDefault="009E4358" w:rsidP="009E4358">
      <w:pPr>
        <w:pStyle w:val="Caption"/>
        <w:keepNext/>
        <w:rPr>
          <w:rFonts w:ascii="Times New Roman" w:hAnsi="Times New Roman" w:cs="Times New Roman"/>
          <w:b/>
          <w:i w:val="0"/>
          <w:color w:val="auto"/>
          <w:lang w:val="en-US"/>
        </w:rPr>
      </w:pPr>
      <w:r w:rsidRPr="00547702">
        <w:rPr>
          <w:rFonts w:ascii="Times New Roman" w:hAnsi="Times New Roman" w:cs="Times New Roman"/>
          <w:b/>
          <w:i w:val="0"/>
          <w:color w:val="auto"/>
          <w:lang w:val="en-US"/>
        </w:rPr>
        <w:t xml:space="preserve">Table </w:t>
      </w:r>
      <w:r w:rsidR="00C76A8B">
        <w:rPr>
          <w:rFonts w:ascii="Times New Roman" w:hAnsi="Times New Roman" w:cs="Times New Roman"/>
          <w:b/>
          <w:i w:val="0"/>
          <w:color w:val="auto"/>
          <w:lang w:val="en-US"/>
        </w:rPr>
        <w:t>3.</w:t>
      </w:r>
      <w:r w:rsidRPr="00547702">
        <w:rPr>
          <w:rFonts w:ascii="Times New Roman" w:hAnsi="Times New Roman" w:cs="Times New Roman"/>
          <w:b/>
          <w:i w:val="0"/>
          <w:color w:val="auto"/>
          <w:lang w:val="en-US"/>
        </w:rPr>
        <w:t xml:space="preserve"> Other model parameters and assumptions. Sources: </w:t>
      </w:r>
      <w:r w:rsidRPr="00547702">
        <w:rPr>
          <w:rFonts w:ascii="Times New Roman" w:hAnsi="Times New Roman" w:cs="Times New Roman"/>
          <w:b/>
          <w:i w:val="0"/>
          <w:color w:val="auto"/>
          <w:lang w:val="en-US"/>
        </w:rPr>
        <w:fldChar w:fldCharType="begin"/>
      </w:r>
      <w:r w:rsidRPr="00547702">
        <w:rPr>
          <w:rFonts w:ascii="Times New Roman" w:hAnsi="Times New Roman" w:cs="Times New Roman"/>
          <w:b/>
          <w:i w:val="0"/>
          <w:color w:val="auto"/>
          <w:lang w:val="en-US"/>
        </w:rPr>
        <w:instrText xml:space="preserve"> ADDIN ZOTERO_ITEM CSL_CITATION {"citationID":"2d81utnmca","properties":{"formattedCitation":"{\\rtf \\super 6\\nosupersub{}}","plainCitation":"6"},"citationItems":[{"id":413,"uris":["http://zotero.org/users/local/e8NniAXZ/items/MZEH5TE6"],"uri":["http://zotero.org/users/local/e8NniAXZ/items/MZEH5TE6"],"itemData":{"id":413,"type":"book","title":"Projected Costs of Generating Electricity 2015","publisher":"Organisation for Economic Co-operation and Development","publisher-place":"Paris","source":"OECD","event-place":"Paris","abstract":"This joint report by the International Energy Agency (IEA) and the Nuclear Energy Agency (NEA) is the eighth in a series of studies on electricity generating costs. As policy makers work to ensure that the power supply is reliable, secure and affordable, while making it increasingly clean and sustainable in the context of the debate on climate change, it is becoming more crucial that they understand what determines the relative cost of electricity generation using fossil fuel, nuclear or renewable sources of energy. A wide range of fuels and technologies are presented in the report, including natural gas, coal, nuclear, hydro, solar, onshore and offshore wind, biomass and biogas, geothermal, and combined heat and power, drawing on a database from surveys of investment and operating costs that include a larger number of countries than previous editions. &amp;nbsp; The analysis of more than 180 plants, based on data covering 22 countries, reveals several key trends, pointing, for example, to a significant decline in recent years in the cost of renewable generation. The report also reveals that nuclear energy costs remain in line with the cost of other baseload technologies, particularly in markets that value decarbonisation. Overall, cost drivers of the different generating technologies remain both market-specific and technology-specific. &amp;nbsp; Readers will find a wealth of details and analysis, supported by over 200 figures and tables, underlining this report&amp;#8217;s value as a tool for decision makers and researchers concerned with energy policies, climate change and the evolution of power sectors around the world. &amp;#160;","URL":"http://www.oecd-ilibrary.org/content/book/cost_electricity-2015-en","ISBN":"978-92-64-24440-5","language":"en","author":[{"literal":"NEA"},{"literal":"IEA"},{"literal":"OECD"}],"issued":{"date-parts":[["2015",9,10]]},"accessed":{"date-parts":[["2016",2,29]]}}}],"schema":"https://github.com/citation-style-language/schema/raw/master/csl-citation.json"} </w:instrText>
      </w:r>
      <w:r w:rsidRPr="00547702">
        <w:rPr>
          <w:rFonts w:ascii="Times New Roman" w:hAnsi="Times New Roman" w:cs="Times New Roman"/>
          <w:b/>
          <w:i w:val="0"/>
          <w:color w:val="auto"/>
          <w:lang w:val="en-US"/>
        </w:rPr>
        <w:fldChar w:fldCharType="separate"/>
      </w:r>
      <w:r w:rsidRPr="00547702">
        <w:rPr>
          <w:rFonts w:ascii="Times New Roman" w:hAnsi="Times New Roman" w:cs="Times New Roman"/>
          <w:b/>
          <w:i w:val="0"/>
          <w:color w:val="auto"/>
          <w:szCs w:val="24"/>
          <w:vertAlign w:val="superscript"/>
          <w:lang w:val="en-US"/>
        </w:rPr>
        <w:t>6</w:t>
      </w:r>
      <w:r w:rsidRPr="00547702">
        <w:rPr>
          <w:rFonts w:ascii="Times New Roman" w:hAnsi="Times New Roman" w:cs="Times New Roman"/>
          <w:b/>
          <w:i w:val="0"/>
          <w:color w:val="auto"/>
          <w:lang w:val="en-US"/>
        </w:rPr>
        <w:fldChar w:fldCharType="end"/>
      </w:r>
    </w:p>
    <w:tbl>
      <w:tblPr>
        <w:tblStyle w:val="GridTable2-Accent5"/>
        <w:tblW w:w="5760" w:type="dxa"/>
        <w:tblInd w:w="450" w:type="dxa"/>
        <w:tblLook w:val="04A0" w:firstRow="1" w:lastRow="0" w:firstColumn="1" w:lastColumn="0" w:noHBand="0" w:noVBand="1"/>
      </w:tblPr>
      <w:tblGrid>
        <w:gridCol w:w="3105"/>
        <w:gridCol w:w="1284"/>
        <w:gridCol w:w="1371"/>
      </w:tblGrid>
      <w:tr w:rsidR="00D9435F" w:rsidRPr="00937FA7" w:rsidTr="009F2C8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105" w:type="dxa"/>
            <w:noWrap/>
            <w:vAlign w:val="center"/>
            <w:hideMark/>
          </w:tcPr>
          <w:p w:rsidR="000B0F3E" w:rsidRPr="00937FA7" w:rsidRDefault="009E4358" w:rsidP="009F2C8C">
            <w:pPr>
              <w:jc w:val="center"/>
              <w:rPr>
                <w:rFonts w:ascii="Times New Roman" w:eastAsia="Times New Roman" w:hAnsi="Times New Roman" w:cs="Times New Roman"/>
                <w:sz w:val="18"/>
                <w:szCs w:val="18"/>
                <w:lang w:val="en-US" w:eastAsia="sv-SE"/>
              </w:rPr>
            </w:pPr>
            <w:r w:rsidRPr="00937FA7">
              <w:rPr>
                <w:rFonts w:ascii="Times New Roman" w:eastAsia="Times New Roman" w:hAnsi="Times New Roman" w:cs="Times New Roman"/>
                <w:sz w:val="18"/>
                <w:szCs w:val="18"/>
                <w:lang w:val="en-US" w:eastAsia="sv-SE"/>
              </w:rPr>
              <w:t>Parameter</w:t>
            </w:r>
          </w:p>
        </w:tc>
        <w:tc>
          <w:tcPr>
            <w:tcW w:w="1284" w:type="dxa"/>
            <w:noWrap/>
            <w:vAlign w:val="center"/>
            <w:hideMark/>
          </w:tcPr>
          <w:p w:rsidR="000B0F3E" w:rsidRPr="00937FA7" w:rsidRDefault="009E4358" w:rsidP="009F2C8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eastAsia="sv-SE"/>
              </w:rPr>
            </w:pPr>
            <w:r w:rsidRPr="00937FA7">
              <w:rPr>
                <w:rFonts w:ascii="Times New Roman" w:eastAsia="Times New Roman" w:hAnsi="Times New Roman" w:cs="Times New Roman"/>
                <w:sz w:val="18"/>
                <w:szCs w:val="18"/>
                <w:lang w:val="en-US" w:eastAsia="sv-SE"/>
              </w:rPr>
              <w:t>Value</w:t>
            </w:r>
          </w:p>
        </w:tc>
        <w:tc>
          <w:tcPr>
            <w:tcW w:w="1371" w:type="dxa"/>
            <w:noWrap/>
            <w:vAlign w:val="center"/>
            <w:hideMark/>
          </w:tcPr>
          <w:p w:rsidR="000B0F3E" w:rsidRPr="00937FA7" w:rsidRDefault="009E4358" w:rsidP="009F2C8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eastAsia="sv-SE"/>
              </w:rPr>
            </w:pPr>
            <w:r w:rsidRPr="00937FA7">
              <w:rPr>
                <w:rFonts w:ascii="Times New Roman" w:eastAsia="Times New Roman" w:hAnsi="Times New Roman" w:cs="Times New Roman"/>
                <w:sz w:val="18"/>
                <w:szCs w:val="18"/>
                <w:lang w:val="en-US" w:eastAsia="sv-SE"/>
              </w:rPr>
              <w:t>Unit</w:t>
            </w:r>
          </w:p>
        </w:tc>
      </w:tr>
      <w:tr w:rsidR="00D9435F" w:rsidRPr="00937FA7" w:rsidTr="009F2C8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105" w:type="dxa"/>
            <w:noWrap/>
            <w:vAlign w:val="center"/>
            <w:hideMark/>
          </w:tcPr>
          <w:p w:rsidR="000B0F3E" w:rsidRPr="00937FA7" w:rsidRDefault="000B0F3E" w:rsidP="009F2C8C">
            <w:pPr>
              <w:jc w:val="center"/>
              <w:rPr>
                <w:rFonts w:ascii="Times New Roman" w:eastAsia="Times New Roman" w:hAnsi="Times New Roman" w:cs="Times New Roman"/>
                <w:b w:val="0"/>
                <w:sz w:val="18"/>
                <w:szCs w:val="18"/>
                <w:lang w:val="en-US" w:eastAsia="sv-SE"/>
              </w:rPr>
            </w:pPr>
            <w:r w:rsidRPr="00937FA7">
              <w:rPr>
                <w:rFonts w:ascii="Times New Roman" w:eastAsia="Times New Roman" w:hAnsi="Times New Roman" w:cs="Times New Roman"/>
                <w:b w:val="0"/>
                <w:sz w:val="18"/>
                <w:szCs w:val="18"/>
                <w:lang w:val="en-US" w:eastAsia="sv-SE"/>
              </w:rPr>
              <w:t>Electricity cost (fuel cost)</w:t>
            </w:r>
          </w:p>
        </w:tc>
        <w:tc>
          <w:tcPr>
            <w:tcW w:w="1284" w:type="dxa"/>
            <w:noWrap/>
            <w:vAlign w:val="center"/>
            <w:hideMark/>
          </w:tcPr>
          <w:p w:rsidR="000B0F3E" w:rsidRPr="00937FA7" w:rsidRDefault="000B0F3E" w:rsidP="009F2C8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eastAsia="sv-SE"/>
              </w:rPr>
            </w:pPr>
            <w:r w:rsidRPr="008D4AE9">
              <w:rPr>
                <w:rFonts w:ascii="Times New Roman" w:eastAsia="Times New Roman" w:hAnsi="Times New Roman" w:cs="Times New Roman"/>
                <w:sz w:val="18"/>
                <w:szCs w:val="18"/>
                <w:highlight w:val="yellow"/>
                <w:lang w:val="en-US" w:eastAsia="sv-SE"/>
              </w:rPr>
              <w:t>0.05</w:t>
            </w:r>
            <w:bookmarkStart w:id="0" w:name="_GoBack"/>
            <w:bookmarkEnd w:id="0"/>
          </w:p>
        </w:tc>
        <w:tc>
          <w:tcPr>
            <w:tcW w:w="1371" w:type="dxa"/>
            <w:noWrap/>
            <w:vAlign w:val="center"/>
            <w:hideMark/>
          </w:tcPr>
          <w:p w:rsidR="000B0F3E" w:rsidRPr="00937FA7" w:rsidRDefault="000B0F3E" w:rsidP="009F2C8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val="en-US" w:eastAsia="sv-SE"/>
              </w:rPr>
            </w:pPr>
            <w:r w:rsidRPr="00937FA7">
              <w:rPr>
                <w:rFonts w:ascii="Times New Roman" w:eastAsia="Times New Roman" w:hAnsi="Times New Roman" w:cs="Times New Roman"/>
                <w:sz w:val="18"/>
                <w:szCs w:val="18"/>
                <w:lang w:val="en-US" w:eastAsia="sv-SE"/>
              </w:rPr>
              <w:t>USD/kWh</w:t>
            </w:r>
          </w:p>
        </w:tc>
      </w:tr>
      <w:tr w:rsidR="00D9435F" w:rsidRPr="00937FA7" w:rsidTr="009F2C8C">
        <w:trPr>
          <w:trHeight w:val="270"/>
        </w:trPr>
        <w:tc>
          <w:tcPr>
            <w:cnfStyle w:val="001000000000" w:firstRow="0" w:lastRow="0" w:firstColumn="1" w:lastColumn="0" w:oddVBand="0" w:evenVBand="0" w:oddHBand="0" w:evenHBand="0" w:firstRowFirstColumn="0" w:firstRowLastColumn="0" w:lastRowFirstColumn="0" w:lastRowLastColumn="0"/>
            <w:tcW w:w="3105" w:type="dxa"/>
            <w:noWrap/>
            <w:vAlign w:val="center"/>
            <w:hideMark/>
          </w:tcPr>
          <w:p w:rsidR="000B0F3E" w:rsidRPr="00937FA7" w:rsidRDefault="000B0F3E" w:rsidP="009F2C8C">
            <w:pPr>
              <w:jc w:val="center"/>
              <w:rPr>
                <w:rFonts w:ascii="Times New Roman" w:eastAsia="Times New Roman" w:hAnsi="Times New Roman" w:cs="Times New Roman"/>
                <w:b w:val="0"/>
                <w:sz w:val="18"/>
                <w:szCs w:val="18"/>
                <w:lang w:val="en-US" w:eastAsia="sv-SE"/>
              </w:rPr>
            </w:pPr>
            <w:r w:rsidRPr="00937FA7">
              <w:rPr>
                <w:rFonts w:ascii="Times New Roman" w:eastAsia="Times New Roman" w:hAnsi="Times New Roman" w:cs="Times New Roman"/>
                <w:b w:val="0"/>
                <w:sz w:val="18"/>
                <w:szCs w:val="18"/>
                <w:lang w:val="en-US" w:eastAsia="sv-SE"/>
              </w:rPr>
              <w:t>Discount rate</w:t>
            </w:r>
          </w:p>
        </w:tc>
        <w:tc>
          <w:tcPr>
            <w:tcW w:w="1284" w:type="dxa"/>
            <w:noWrap/>
            <w:vAlign w:val="center"/>
            <w:hideMark/>
          </w:tcPr>
          <w:p w:rsidR="000B0F3E" w:rsidRPr="00937FA7" w:rsidRDefault="000B0F3E" w:rsidP="009F2C8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eastAsia="sv-SE"/>
              </w:rPr>
            </w:pPr>
            <w:r w:rsidRPr="00937FA7">
              <w:rPr>
                <w:rFonts w:ascii="Times New Roman" w:eastAsia="Times New Roman" w:hAnsi="Times New Roman" w:cs="Times New Roman"/>
                <w:sz w:val="18"/>
                <w:szCs w:val="18"/>
                <w:lang w:val="en-US" w:eastAsia="sv-SE"/>
              </w:rPr>
              <w:t>8%</w:t>
            </w:r>
          </w:p>
        </w:tc>
        <w:tc>
          <w:tcPr>
            <w:tcW w:w="1371" w:type="dxa"/>
            <w:noWrap/>
            <w:vAlign w:val="center"/>
            <w:hideMark/>
          </w:tcPr>
          <w:p w:rsidR="000B0F3E" w:rsidRPr="00937FA7" w:rsidRDefault="000B0F3E" w:rsidP="009F2C8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val="en-US" w:eastAsia="sv-SE"/>
              </w:rPr>
            </w:pPr>
            <w:r w:rsidRPr="00937FA7">
              <w:rPr>
                <w:rFonts w:ascii="Times New Roman" w:eastAsia="Times New Roman" w:hAnsi="Times New Roman" w:cs="Times New Roman"/>
                <w:sz w:val="18"/>
                <w:szCs w:val="18"/>
                <w:lang w:val="en-US" w:eastAsia="sv-SE"/>
              </w:rPr>
              <w:t>-</w:t>
            </w:r>
          </w:p>
        </w:tc>
      </w:tr>
    </w:tbl>
    <w:p w:rsidR="000B0F3E" w:rsidRDefault="000B0F3E">
      <w:pPr>
        <w:rPr>
          <w:rFonts w:ascii="Times New Roman" w:hAnsi="Times New Roman" w:cs="Times New Roman"/>
          <w:lang w:val="en-US"/>
        </w:rPr>
      </w:pPr>
    </w:p>
    <w:p w:rsidR="00AB14D8" w:rsidRPr="00547702" w:rsidRDefault="00AB14D8" w:rsidP="00AB14D8">
      <w:pPr>
        <w:pStyle w:val="Caption"/>
        <w:keepNext/>
        <w:rPr>
          <w:rFonts w:ascii="Times New Roman" w:hAnsi="Times New Roman" w:cs="Times New Roman"/>
          <w:b/>
          <w:i w:val="0"/>
          <w:color w:val="auto"/>
          <w:lang w:val="en-US"/>
        </w:rPr>
      </w:pPr>
      <w:r w:rsidRPr="00547702">
        <w:rPr>
          <w:rFonts w:ascii="Times New Roman" w:hAnsi="Times New Roman" w:cs="Times New Roman"/>
          <w:b/>
          <w:i w:val="0"/>
          <w:color w:val="auto"/>
          <w:lang w:val="en-US"/>
        </w:rPr>
        <w:t>Table</w:t>
      </w:r>
      <w:r>
        <w:rPr>
          <w:rFonts w:ascii="Times New Roman" w:hAnsi="Times New Roman" w:cs="Times New Roman"/>
          <w:b/>
          <w:i w:val="0"/>
          <w:color w:val="auto"/>
          <w:lang w:val="en-US"/>
        </w:rPr>
        <w:t xml:space="preserve"> 3.</w:t>
      </w:r>
      <w:r w:rsidRPr="00547702">
        <w:rPr>
          <w:rFonts w:ascii="Times New Roman" w:hAnsi="Times New Roman" w:cs="Times New Roman"/>
          <w:b/>
          <w:i w:val="0"/>
          <w:color w:val="auto"/>
          <w:lang w:val="en-US"/>
        </w:rPr>
        <w:t xml:space="preserve"> </w:t>
      </w:r>
      <w:r>
        <w:rPr>
          <w:rFonts w:ascii="Times New Roman" w:hAnsi="Times New Roman" w:cs="Times New Roman"/>
          <w:b/>
          <w:i w:val="0"/>
          <w:color w:val="auto"/>
          <w:lang w:val="en-US"/>
        </w:rPr>
        <w:t>Current and future diesel prices</w:t>
      </w:r>
      <w:r w:rsidR="009F2C8C">
        <w:rPr>
          <w:rFonts w:ascii="Times New Roman" w:hAnsi="Times New Roman" w:cs="Times New Roman"/>
          <w:b/>
          <w:bCs/>
          <w:i w:val="0"/>
          <w:color w:val="auto"/>
          <w:lang w:val="en-US"/>
        </w:rPr>
        <w:t>. Sources (WEO 2015, IEA).</w:t>
      </w:r>
      <w:r w:rsidRPr="00547702">
        <w:rPr>
          <w:rFonts w:ascii="Times New Roman" w:hAnsi="Times New Roman" w:cs="Times New Roman"/>
          <w:b/>
          <w:bCs/>
          <w:i w:val="0"/>
          <w:color w:val="auto"/>
          <w:lang w:val="en-US"/>
        </w:rPr>
        <w:t xml:space="preserve"> </w:t>
      </w:r>
    </w:p>
    <w:tbl>
      <w:tblPr>
        <w:tblStyle w:val="GridTable2-Accent5"/>
        <w:tblW w:w="0" w:type="auto"/>
        <w:tblInd w:w="450" w:type="dxa"/>
        <w:tblLook w:val="04A0" w:firstRow="1" w:lastRow="0" w:firstColumn="1" w:lastColumn="0" w:noHBand="0" w:noVBand="1"/>
      </w:tblPr>
      <w:tblGrid>
        <w:gridCol w:w="2700"/>
        <w:gridCol w:w="1350"/>
        <w:gridCol w:w="1710"/>
      </w:tblGrid>
      <w:tr w:rsidR="00AB14D8" w:rsidRPr="00937FA7" w:rsidTr="009F2C8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00" w:type="dxa"/>
            <w:noWrap/>
            <w:vAlign w:val="center"/>
            <w:hideMark/>
          </w:tcPr>
          <w:p w:rsidR="00AB14D8" w:rsidRPr="00937FA7" w:rsidRDefault="00AB14D8" w:rsidP="009F2C8C">
            <w:pPr>
              <w:jc w:val="center"/>
              <w:rPr>
                <w:rFonts w:ascii="Times New Roman" w:hAnsi="Times New Roman" w:cs="Times New Roman"/>
                <w:sz w:val="18"/>
                <w:szCs w:val="18"/>
                <w:lang w:val="en-US"/>
              </w:rPr>
            </w:pPr>
            <w:r w:rsidRPr="00937FA7">
              <w:rPr>
                <w:rFonts w:ascii="Times New Roman" w:hAnsi="Times New Roman" w:cs="Times New Roman"/>
                <w:sz w:val="18"/>
                <w:szCs w:val="18"/>
                <w:lang w:val="en-US"/>
              </w:rPr>
              <w:t>Parameter</w:t>
            </w:r>
          </w:p>
        </w:tc>
        <w:tc>
          <w:tcPr>
            <w:tcW w:w="1350" w:type="dxa"/>
            <w:noWrap/>
            <w:vAlign w:val="center"/>
            <w:hideMark/>
          </w:tcPr>
          <w:p w:rsidR="00AB14D8" w:rsidRPr="00937FA7" w:rsidRDefault="00AB14D8" w:rsidP="009F2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Value</w:t>
            </w:r>
          </w:p>
        </w:tc>
        <w:tc>
          <w:tcPr>
            <w:tcW w:w="1710" w:type="dxa"/>
            <w:noWrap/>
            <w:vAlign w:val="center"/>
            <w:hideMark/>
          </w:tcPr>
          <w:p w:rsidR="00AB14D8" w:rsidRPr="00937FA7" w:rsidRDefault="00AB14D8" w:rsidP="009F2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37FA7">
              <w:rPr>
                <w:rFonts w:ascii="Times New Roman" w:hAnsi="Times New Roman" w:cs="Times New Roman"/>
                <w:sz w:val="18"/>
                <w:szCs w:val="18"/>
                <w:lang w:val="en-US"/>
              </w:rPr>
              <w:t>Unit</w:t>
            </w:r>
          </w:p>
        </w:tc>
      </w:tr>
      <w:tr w:rsidR="00AB14D8" w:rsidRPr="00937FA7" w:rsidTr="009F2C8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00" w:type="dxa"/>
            <w:noWrap/>
            <w:vAlign w:val="center"/>
          </w:tcPr>
          <w:p w:rsidR="00AB14D8" w:rsidRPr="00937FA7" w:rsidRDefault="00AB14D8" w:rsidP="009F2C8C">
            <w:pPr>
              <w:jc w:val="center"/>
              <w:rPr>
                <w:rFonts w:ascii="Times New Roman" w:hAnsi="Times New Roman" w:cs="Times New Roman"/>
                <w:b w:val="0"/>
                <w:sz w:val="18"/>
                <w:szCs w:val="18"/>
                <w:lang w:val="en-US"/>
              </w:rPr>
            </w:pPr>
            <w:r>
              <w:rPr>
                <w:rFonts w:ascii="Times New Roman" w:hAnsi="Times New Roman" w:cs="Times New Roman"/>
                <w:b w:val="0"/>
                <w:sz w:val="18"/>
                <w:szCs w:val="18"/>
                <w:lang w:val="en-US"/>
              </w:rPr>
              <w:t>Crude oil current price</w:t>
            </w:r>
          </w:p>
        </w:tc>
        <w:tc>
          <w:tcPr>
            <w:tcW w:w="1350" w:type="dxa"/>
            <w:noWrap/>
            <w:vAlign w:val="center"/>
          </w:tcPr>
          <w:p w:rsidR="00AB14D8" w:rsidRPr="00937FA7" w:rsidRDefault="00AB14D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44.23</w:t>
            </w:r>
          </w:p>
        </w:tc>
        <w:tc>
          <w:tcPr>
            <w:tcW w:w="1710" w:type="dxa"/>
            <w:noWrap/>
            <w:vAlign w:val="center"/>
          </w:tcPr>
          <w:p w:rsidR="00AB14D8" w:rsidRPr="00937FA7" w:rsidRDefault="00AB14D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USD/barrel</w:t>
            </w:r>
          </w:p>
        </w:tc>
      </w:tr>
      <w:tr w:rsidR="00AB14D8" w:rsidRPr="00937FA7" w:rsidTr="009F2C8C">
        <w:trPr>
          <w:trHeight w:val="290"/>
        </w:trPr>
        <w:tc>
          <w:tcPr>
            <w:cnfStyle w:val="001000000000" w:firstRow="0" w:lastRow="0" w:firstColumn="1" w:lastColumn="0" w:oddVBand="0" w:evenVBand="0" w:oddHBand="0" w:evenHBand="0" w:firstRowFirstColumn="0" w:firstRowLastColumn="0" w:lastRowFirstColumn="0" w:lastRowLastColumn="0"/>
            <w:tcW w:w="2700" w:type="dxa"/>
            <w:noWrap/>
            <w:vAlign w:val="center"/>
            <w:hideMark/>
          </w:tcPr>
          <w:p w:rsidR="00AB14D8" w:rsidRPr="00937FA7" w:rsidRDefault="00AB14D8" w:rsidP="009F2C8C">
            <w:pPr>
              <w:jc w:val="center"/>
              <w:rPr>
                <w:rFonts w:ascii="Times New Roman" w:hAnsi="Times New Roman" w:cs="Times New Roman"/>
                <w:b w:val="0"/>
                <w:sz w:val="18"/>
                <w:szCs w:val="18"/>
                <w:lang w:val="en-US"/>
              </w:rPr>
            </w:pPr>
            <w:r>
              <w:rPr>
                <w:rFonts w:ascii="Times New Roman" w:hAnsi="Times New Roman" w:cs="Times New Roman"/>
                <w:b w:val="0"/>
                <w:sz w:val="18"/>
                <w:szCs w:val="18"/>
                <w:lang w:val="en-US"/>
              </w:rPr>
              <w:t>Crude oil future low price</w:t>
            </w:r>
          </w:p>
        </w:tc>
        <w:tc>
          <w:tcPr>
            <w:tcW w:w="1350" w:type="dxa"/>
            <w:noWrap/>
            <w:vAlign w:val="center"/>
            <w:hideMark/>
          </w:tcPr>
          <w:p w:rsidR="00AB14D8" w:rsidRPr="00937FA7" w:rsidRDefault="00AB14D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96</w:t>
            </w:r>
          </w:p>
        </w:tc>
        <w:tc>
          <w:tcPr>
            <w:tcW w:w="1710" w:type="dxa"/>
            <w:noWrap/>
            <w:vAlign w:val="center"/>
            <w:hideMark/>
          </w:tcPr>
          <w:p w:rsidR="00AB14D8" w:rsidRPr="00937FA7" w:rsidRDefault="00AB14D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USD/barrel</w:t>
            </w:r>
          </w:p>
        </w:tc>
      </w:tr>
      <w:tr w:rsidR="00AB14D8" w:rsidRPr="00937FA7" w:rsidTr="009F2C8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00" w:type="dxa"/>
            <w:noWrap/>
            <w:vAlign w:val="center"/>
            <w:hideMark/>
          </w:tcPr>
          <w:p w:rsidR="00AB14D8" w:rsidRPr="00937FA7" w:rsidRDefault="00AB14D8" w:rsidP="009F2C8C">
            <w:pPr>
              <w:jc w:val="center"/>
              <w:rPr>
                <w:rFonts w:ascii="Times New Roman" w:hAnsi="Times New Roman" w:cs="Times New Roman"/>
                <w:b w:val="0"/>
                <w:sz w:val="18"/>
                <w:szCs w:val="18"/>
                <w:lang w:val="en-US"/>
              </w:rPr>
            </w:pPr>
            <w:r>
              <w:rPr>
                <w:rFonts w:ascii="Times New Roman" w:hAnsi="Times New Roman" w:cs="Times New Roman"/>
                <w:b w:val="0"/>
                <w:sz w:val="18"/>
                <w:szCs w:val="18"/>
                <w:lang w:val="en-US"/>
              </w:rPr>
              <w:t>Crude oil high future price</w:t>
            </w:r>
          </w:p>
        </w:tc>
        <w:tc>
          <w:tcPr>
            <w:tcW w:w="1350" w:type="dxa"/>
            <w:noWrap/>
            <w:vAlign w:val="center"/>
            <w:hideMark/>
          </w:tcPr>
          <w:p w:rsidR="00AB14D8" w:rsidRPr="00937FA7" w:rsidRDefault="00AB14D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115</w:t>
            </w:r>
          </w:p>
        </w:tc>
        <w:tc>
          <w:tcPr>
            <w:tcW w:w="1710" w:type="dxa"/>
            <w:noWrap/>
            <w:vAlign w:val="center"/>
            <w:hideMark/>
          </w:tcPr>
          <w:p w:rsidR="00AB14D8" w:rsidRPr="00937FA7" w:rsidRDefault="00AB14D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USD/barrel</w:t>
            </w:r>
          </w:p>
        </w:tc>
      </w:tr>
      <w:tr w:rsidR="00AB14D8" w:rsidRPr="00937FA7" w:rsidTr="009F2C8C">
        <w:trPr>
          <w:trHeight w:val="290"/>
        </w:trPr>
        <w:tc>
          <w:tcPr>
            <w:cnfStyle w:val="001000000000" w:firstRow="0" w:lastRow="0" w:firstColumn="1" w:lastColumn="0" w:oddVBand="0" w:evenVBand="0" w:oddHBand="0" w:evenHBand="0" w:firstRowFirstColumn="0" w:firstRowLastColumn="0" w:lastRowFirstColumn="0" w:lastRowLastColumn="0"/>
            <w:tcW w:w="2700" w:type="dxa"/>
            <w:noWrap/>
            <w:vAlign w:val="center"/>
            <w:hideMark/>
          </w:tcPr>
          <w:p w:rsidR="00AB14D8" w:rsidRPr="00937FA7" w:rsidRDefault="00AB14D8" w:rsidP="009F2C8C">
            <w:pPr>
              <w:jc w:val="center"/>
              <w:rPr>
                <w:rFonts w:ascii="Times New Roman" w:hAnsi="Times New Roman" w:cs="Times New Roman"/>
                <w:b w:val="0"/>
                <w:sz w:val="18"/>
                <w:szCs w:val="18"/>
                <w:lang w:val="en-US"/>
              </w:rPr>
            </w:pPr>
            <w:r>
              <w:rPr>
                <w:rFonts w:ascii="Times New Roman" w:hAnsi="Times New Roman" w:cs="Times New Roman"/>
                <w:b w:val="0"/>
                <w:sz w:val="18"/>
                <w:szCs w:val="18"/>
                <w:lang w:val="en-US"/>
              </w:rPr>
              <w:t>Liter per barrel</w:t>
            </w:r>
          </w:p>
        </w:tc>
        <w:tc>
          <w:tcPr>
            <w:tcW w:w="1350" w:type="dxa"/>
            <w:noWrap/>
            <w:vAlign w:val="center"/>
            <w:hideMark/>
          </w:tcPr>
          <w:p w:rsidR="00AB14D8" w:rsidRPr="00937FA7" w:rsidRDefault="00AB14D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158.99</w:t>
            </w:r>
          </w:p>
        </w:tc>
        <w:tc>
          <w:tcPr>
            <w:tcW w:w="1710" w:type="dxa"/>
            <w:noWrap/>
            <w:vAlign w:val="center"/>
            <w:hideMark/>
          </w:tcPr>
          <w:p w:rsidR="00AB14D8" w:rsidRPr="00937FA7" w:rsidRDefault="00AB14D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tc>
      </w:tr>
      <w:tr w:rsidR="00AB14D8" w:rsidRPr="00937FA7" w:rsidTr="009F2C8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00" w:type="dxa"/>
            <w:noWrap/>
            <w:vAlign w:val="center"/>
            <w:hideMark/>
          </w:tcPr>
          <w:p w:rsidR="00AB14D8" w:rsidRPr="00937FA7" w:rsidRDefault="00AB14D8" w:rsidP="009F2C8C">
            <w:pPr>
              <w:jc w:val="center"/>
              <w:rPr>
                <w:rFonts w:ascii="Times New Roman" w:hAnsi="Times New Roman" w:cs="Times New Roman"/>
                <w:b w:val="0"/>
                <w:sz w:val="18"/>
                <w:szCs w:val="18"/>
                <w:lang w:val="en-US"/>
              </w:rPr>
            </w:pPr>
            <w:r>
              <w:rPr>
                <w:rFonts w:ascii="Times New Roman" w:hAnsi="Times New Roman" w:cs="Times New Roman"/>
                <w:b w:val="0"/>
                <w:sz w:val="18"/>
                <w:szCs w:val="18"/>
                <w:lang w:val="en-US"/>
              </w:rPr>
              <w:t>Diesel current price</w:t>
            </w:r>
          </w:p>
        </w:tc>
        <w:tc>
          <w:tcPr>
            <w:tcW w:w="1350" w:type="dxa"/>
            <w:noWrap/>
            <w:vAlign w:val="center"/>
            <w:hideMark/>
          </w:tcPr>
          <w:p w:rsidR="00AB14D8" w:rsidRPr="00937FA7" w:rsidRDefault="00AB14D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0.32</w:t>
            </w:r>
          </w:p>
        </w:tc>
        <w:tc>
          <w:tcPr>
            <w:tcW w:w="1710" w:type="dxa"/>
            <w:noWrap/>
            <w:vAlign w:val="center"/>
            <w:hideMark/>
          </w:tcPr>
          <w:p w:rsidR="00AB14D8" w:rsidRPr="00937FA7" w:rsidRDefault="00AB14D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USD/liter</w:t>
            </w:r>
          </w:p>
        </w:tc>
      </w:tr>
      <w:tr w:rsidR="00AB14D8" w:rsidRPr="00937FA7" w:rsidTr="009F2C8C">
        <w:trPr>
          <w:trHeight w:val="290"/>
        </w:trPr>
        <w:tc>
          <w:tcPr>
            <w:cnfStyle w:val="001000000000" w:firstRow="0" w:lastRow="0" w:firstColumn="1" w:lastColumn="0" w:oddVBand="0" w:evenVBand="0" w:oddHBand="0" w:evenHBand="0" w:firstRowFirstColumn="0" w:firstRowLastColumn="0" w:lastRowFirstColumn="0" w:lastRowLastColumn="0"/>
            <w:tcW w:w="2700" w:type="dxa"/>
            <w:noWrap/>
            <w:vAlign w:val="center"/>
            <w:hideMark/>
          </w:tcPr>
          <w:p w:rsidR="00AB14D8" w:rsidRPr="00937FA7" w:rsidRDefault="00AB14D8" w:rsidP="009F2C8C">
            <w:pPr>
              <w:jc w:val="center"/>
              <w:rPr>
                <w:rFonts w:ascii="Times New Roman" w:hAnsi="Times New Roman" w:cs="Times New Roman"/>
                <w:b w:val="0"/>
                <w:sz w:val="18"/>
                <w:szCs w:val="18"/>
                <w:lang w:val="en-US"/>
              </w:rPr>
            </w:pPr>
            <w:r>
              <w:rPr>
                <w:rFonts w:ascii="Times New Roman" w:hAnsi="Times New Roman" w:cs="Times New Roman"/>
                <w:b w:val="0"/>
                <w:sz w:val="18"/>
                <w:szCs w:val="18"/>
                <w:lang w:val="en-US"/>
              </w:rPr>
              <w:t>Diesel future low price</w:t>
            </w:r>
          </w:p>
        </w:tc>
        <w:tc>
          <w:tcPr>
            <w:tcW w:w="1350" w:type="dxa"/>
            <w:noWrap/>
            <w:vAlign w:val="center"/>
            <w:hideMark/>
          </w:tcPr>
          <w:p w:rsidR="00AB14D8" w:rsidRPr="00937FA7" w:rsidRDefault="00AB14D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0.69</w:t>
            </w:r>
          </w:p>
        </w:tc>
        <w:tc>
          <w:tcPr>
            <w:tcW w:w="1710" w:type="dxa"/>
            <w:noWrap/>
            <w:vAlign w:val="center"/>
            <w:hideMark/>
          </w:tcPr>
          <w:p w:rsidR="00AB14D8" w:rsidRPr="00937FA7" w:rsidRDefault="00AB14D8" w:rsidP="009F2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USD/liter</w:t>
            </w:r>
          </w:p>
        </w:tc>
      </w:tr>
      <w:tr w:rsidR="00AB14D8" w:rsidRPr="00937FA7" w:rsidTr="009F2C8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00" w:type="dxa"/>
            <w:noWrap/>
            <w:vAlign w:val="center"/>
          </w:tcPr>
          <w:p w:rsidR="00AB14D8" w:rsidRDefault="00AB14D8" w:rsidP="009F2C8C">
            <w:pPr>
              <w:jc w:val="center"/>
              <w:rPr>
                <w:rFonts w:ascii="Times New Roman" w:hAnsi="Times New Roman" w:cs="Times New Roman"/>
                <w:b w:val="0"/>
                <w:sz w:val="18"/>
                <w:szCs w:val="18"/>
                <w:lang w:val="en-US"/>
              </w:rPr>
            </w:pPr>
            <w:r>
              <w:rPr>
                <w:rFonts w:ascii="Times New Roman" w:hAnsi="Times New Roman" w:cs="Times New Roman"/>
                <w:b w:val="0"/>
                <w:sz w:val="18"/>
                <w:szCs w:val="18"/>
                <w:lang w:val="en-US"/>
              </w:rPr>
              <w:t>Diesel future high price</w:t>
            </w:r>
          </w:p>
        </w:tc>
        <w:tc>
          <w:tcPr>
            <w:tcW w:w="1350" w:type="dxa"/>
            <w:noWrap/>
            <w:vAlign w:val="center"/>
          </w:tcPr>
          <w:p w:rsidR="00AB14D8" w:rsidRDefault="00AB14D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0.83</w:t>
            </w:r>
          </w:p>
        </w:tc>
        <w:tc>
          <w:tcPr>
            <w:tcW w:w="1710" w:type="dxa"/>
            <w:noWrap/>
            <w:vAlign w:val="center"/>
          </w:tcPr>
          <w:p w:rsidR="00AB14D8" w:rsidRDefault="00AB14D8" w:rsidP="009F2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USD/liter</w:t>
            </w:r>
          </w:p>
        </w:tc>
      </w:tr>
    </w:tbl>
    <w:p w:rsidR="00937FA7" w:rsidRPr="00937FA7" w:rsidRDefault="00937FA7" w:rsidP="00937FA7">
      <w:pPr>
        <w:spacing w:after="120" w:line="312" w:lineRule="auto"/>
        <w:jc w:val="both"/>
        <w:rPr>
          <w:rFonts w:ascii="Times New Roman" w:hAnsi="Times New Roman" w:cs="Times New Roman"/>
          <w:lang w:val="en-US"/>
        </w:rPr>
      </w:pPr>
      <w:r>
        <w:rPr>
          <w:rFonts w:ascii="Times New Roman" w:hAnsi="Times New Roman" w:cs="Times New Roman"/>
          <w:b/>
          <w:bCs/>
          <w:lang w:val="it-IT"/>
        </w:rPr>
        <w:lastRenderedPageBreak/>
        <w:t>Main assumptions concerning the grid extension process</w:t>
      </w:r>
      <w:r w:rsidRPr="00937FA7">
        <w:rPr>
          <w:rFonts w:ascii="Times New Roman" w:hAnsi="Times New Roman" w:cs="Times New Roman"/>
          <w:b/>
          <w:bCs/>
          <w:lang w:val="it-IT"/>
        </w:rPr>
        <w:t xml:space="preserve"> </w:t>
      </w:r>
    </w:p>
    <w:p w:rsidR="00937FA7" w:rsidRPr="00390BBD" w:rsidRDefault="00390BBD" w:rsidP="00937FA7">
      <w:pPr>
        <w:spacing w:after="120" w:line="312" w:lineRule="auto"/>
        <w:jc w:val="both"/>
        <w:rPr>
          <w:rFonts w:ascii="Times New Roman" w:hAnsi="Times New Roman" w:cs="Times New Roman"/>
          <w:lang w:val="it-IT"/>
        </w:rPr>
      </w:pPr>
      <w:r>
        <w:rPr>
          <w:rFonts w:ascii="Times New Roman" w:hAnsi="Times New Roman" w:cs="Times New Roman"/>
          <w:lang w:val="en-US"/>
        </w:rPr>
        <w:t xml:space="preserve">The expansion of the HV transmission network is consistent with the African Development Bank’s plan up to 2030. An </w:t>
      </w:r>
      <w:r>
        <w:rPr>
          <w:rFonts w:ascii="Times New Roman" w:hAnsi="Times New Roman" w:cs="Times New Roman"/>
          <w:lang w:val="it-IT"/>
        </w:rPr>
        <w:t>extension</w:t>
      </w:r>
      <w:r w:rsidR="00937FA7" w:rsidRPr="00937FA7">
        <w:rPr>
          <w:rFonts w:ascii="Times New Roman" w:hAnsi="Times New Roman" w:cs="Times New Roman"/>
          <w:lang w:val="it-IT"/>
        </w:rPr>
        <w:t xml:space="preserve"> to planned power plants a</w:t>
      </w:r>
      <w:r w:rsidR="00937FA7">
        <w:rPr>
          <w:rFonts w:ascii="Times New Roman" w:hAnsi="Times New Roman" w:cs="Times New Roman"/>
          <w:lang w:val="it-IT"/>
        </w:rPr>
        <w:t>nd those under construction</w:t>
      </w:r>
      <w:r>
        <w:rPr>
          <w:rFonts w:ascii="Times New Roman" w:hAnsi="Times New Roman" w:cs="Times New Roman"/>
          <w:lang w:val="it-IT"/>
        </w:rPr>
        <w:t xml:space="preserve"> was also taken into consideration. Moreover, in this study additional HV lines were used in order to connect identified mining sites to the power grid</w:t>
      </w:r>
      <w:r w:rsidR="00937FA7" w:rsidRPr="00937FA7">
        <w:rPr>
          <w:rFonts w:ascii="Times New Roman" w:hAnsi="Times New Roman" w:cs="Times New Roman"/>
          <w:lang w:val="it-IT"/>
        </w:rPr>
        <w:t xml:space="preserve"> (in cases where it would have been economically infeasible to connect them through an extension of MV lines).</w:t>
      </w:r>
    </w:p>
    <w:p w:rsidR="007A481E" w:rsidRDefault="00A8007A" w:rsidP="007A481E">
      <w:pPr>
        <w:spacing w:after="120" w:line="312" w:lineRule="auto"/>
        <w:jc w:val="both"/>
        <w:rPr>
          <w:rFonts w:ascii="Times New Roman" w:hAnsi="Times New Roman" w:cs="Times New Roman"/>
          <w:lang w:val="it-IT"/>
        </w:rPr>
      </w:pPr>
      <w:r>
        <w:rPr>
          <w:rFonts w:ascii="Times New Roman" w:hAnsi="Times New Roman" w:cs="Times New Roman"/>
          <w:lang w:val="it-IT"/>
        </w:rPr>
        <w:t xml:space="preserve">A so-called buffer zone </w:t>
      </w:r>
      <w:r w:rsidR="008263B5">
        <w:rPr>
          <w:rFonts w:ascii="Times New Roman" w:hAnsi="Times New Roman" w:cs="Times New Roman"/>
          <w:lang w:val="it-IT"/>
        </w:rPr>
        <w:t>was</w:t>
      </w:r>
      <w:r w:rsidR="00937FA7" w:rsidRPr="00937FA7">
        <w:rPr>
          <w:rFonts w:ascii="Times New Roman" w:hAnsi="Times New Roman" w:cs="Times New Roman"/>
          <w:lang w:val="it-IT"/>
        </w:rPr>
        <w:t xml:space="preserve"> set around the </w:t>
      </w:r>
      <w:r>
        <w:rPr>
          <w:rFonts w:ascii="Times New Roman" w:hAnsi="Times New Roman" w:cs="Times New Roman"/>
          <w:lang w:val="it-IT"/>
        </w:rPr>
        <w:t xml:space="preserve">existing transmission </w:t>
      </w:r>
      <w:r w:rsidR="00937FA7" w:rsidRPr="00937FA7">
        <w:rPr>
          <w:rFonts w:ascii="Times New Roman" w:hAnsi="Times New Roman" w:cs="Times New Roman"/>
          <w:lang w:val="it-IT"/>
        </w:rPr>
        <w:t>network</w:t>
      </w:r>
      <w:r>
        <w:rPr>
          <w:rFonts w:ascii="Times New Roman" w:hAnsi="Times New Roman" w:cs="Times New Roman"/>
          <w:lang w:val="it-IT"/>
        </w:rPr>
        <w:t xml:space="preserve">. By calibrating this buffer zone </w:t>
      </w:r>
      <w:r w:rsidR="007A481E">
        <w:rPr>
          <w:rFonts w:ascii="Times New Roman" w:hAnsi="Times New Roman" w:cs="Times New Roman"/>
          <w:lang w:val="it-IT"/>
        </w:rPr>
        <w:t xml:space="preserve">we were able to estimate the spatial distribution of </w:t>
      </w:r>
      <w:r>
        <w:rPr>
          <w:rFonts w:ascii="Times New Roman" w:hAnsi="Times New Roman" w:cs="Times New Roman"/>
          <w:lang w:val="it-IT"/>
        </w:rPr>
        <w:t xml:space="preserve"> the grid-electrifie</w:t>
      </w:r>
      <w:r w:rsidR="007A481E">
        <w:rPr>
          <w:rFonts w:ascii="Times New Roman" w:hAnsi="Times New Roman" w:cs="Times New Roman"/>
          <w:lang w:val="it-IT"/>
        </w:rPr>
        <w:t xml:space="preserve">d population for every country. </w:t>
      </w:r>
    </w:p>
    <w:p w:rsidR="00937FA7" w:rsidRPr="007A481E" w:rsidRDefault="00937FA7" w:rsidP="007A481E">
      <w:pPr>
        <w:spacing w:after="120" w:line="312" w:lineRule="auto"/>
        <w:jc w:val="both"/>
        <w:rPr>
          <w:rFonts w:ascii="Times New Roman" w:hAnsi="Times New Roman" w:cs="Times New Roman"/>
          <w:lang w:val="it-IT"/>
        </w:rPr>
      </w:pPr>
      <w:r w:rsidRPr="00937FA7">
        <w:rPr>
          <w:rFonts w:ascii="Times New Roman" w:hAnsi="Times New Roman" w:cs="Times New Roman"/>
          <w:lang w:val="it-IT"/>
        </w:rPr>
        <w:t xml:space="preserve">For the settlements outside this zone, an analysis </w:t>
      </w:r>
      <w:r w:rsidR="007A481E">
        <w:rPr>
          <w:rFonts w:ascii="Times New Roman" w:hAnsi="Times New Roman" w:cs="Times New Roman"/>
          <w:lang w:val="it-IT"/>
        </w:rPr>
        <w:t>run</w:t>
      </w:r>
      <w:r w:rsidR="008263B5">
        <w:rPr>
          <w:rFonts w:ascii="Times New Roman" w:hAnsi="Times New Roman" w:cs="Times New Roman"/>
          <w:lang w:val="it-IT"/>
        </w:rPr>
        <w:t xml:space="preserve"> </w:t>
      </w:r>
      <w:r w:rsidR="007A481E">
        <w:rPr>
          <w:rFonts w:ascii="Times New Roman" w:hAnsi="Times New Roman" w:cs="Times New Roman"/>
          <w:lang w:val="it-IT"/>
        </w:rPr>
        <w:t>including</w:t>
      </w:r>
      <w:r w:rsidR="008263B5">
        <w:rPr>
          <w:rFonts w:ascii="Times New Roman" w:hAnsi="Times New Roman" w:cs="Times New Roman"/>
          <w:lang w:val="it-IT"/>
        </w:rPr>
        <w:t xml:space="preserve"> the</w:t>
      </w:r>
      <w:r w:rsidRPr="00937FA7">
        <w:rPr>
          <w:rFonts w:ascii="Times New Roman" w:hAnsi="Times New Roman" w:cs="Times New Roman"/>
          <w:lang w:val="it-IT"/>
        </w:rPr>
        <w:t xml:space="preserve"> distance from the closest connected point, population </w:t>
      </w:r>
      <w:r w:rsidR="00A8007A">
        <w:rPr>
          <w:rFonts w:ascii="Times New Roman" w:hAnsi="Times New Roman" w:cs="Times New Roman"/>
          <w:lang w:val="it-IT"/>
        </w:rPr>
        <w:t xml:space="preserve">density </w:t>
      </w:r>
      <w:r w:rsidRPr="00937FA7">
        <w:rPr>
          <w:rFonts w:ascii="Times New Roman" w:hAnsi="Times New Roman" w:cs="Times New Roman"/>
          <w:lang w:val="it-IT"/>
        </w:rPr>
        <w:t>and resource availability indicat</w:t>
      </w:r>
      <w:r w:rsidR="008263B5">
        <w:rPr>
          <w:rFonts w:ascii="Times New Roman" w:hAnsi="Times New Roman" w:cs="Times New Roman"/>
          <w:lang w:val="it-IT"/>
        </w:rPr>
        <w:t>ing</w:t>
      </w:r>
      <w:r w:rsidRPr="00937FA7">
        <w:rPr>
          <w:rFonts w:ascii="Times New Roman" w:hAnsi="Times New Roman" w:cs="Times New Roman"/>
          <w:lang w:val="it-IT"/>
        </w:rPr>
        <w:t xml:space="preserve"> the optimal </w:t>
      </w:r>
      <w:r w:rsidR="007A481E">
        <w:rPr>
          <w:rFonts w:ascii="Times New Roman" w:hAnsi="Times New Roman" w:cs="Times New Roman"/>
          <w:lang w:val="it-IT"/>
        </w:rPr>
        <w:t xml:space="preserve">solution between </w:t>
      </w:r>
      <w:r w:rsidRPr="00937FA7">
        <w:rPr>
          <w:rFonts w:ascii="Times New Roman" w:hAnsi="Times New Roman" w:cs="Times New Roman"/>
          <w:lang w:val="it-IT"/>
        </w:rPr>
        <w:t>grid</w:t>
      </w:r>
      <w:r w:rsidR="007A481E">
        <w:rPr>
          <w:rFonts w:ascii="Times New Roman" w:hAnsi="Times New Roman" w:cs="Times New Roman"/>
          <w:lang w:val="it-IT"/>
        </w:rPr>
        <w:t xml:space="preserve"> extention, micro grid and </w:t>
      </w:r>
      <w:r w:rsidRPr="00937FA7">
        <w:rPr>
          <w:rFonts w:ascii="Times New Roman" w:hAnsi="Times New Roman" w:cs="Times New Roman"/>
          <w:lang w:val="it-IT"/>
        </w:rPr>
        <w:t xml:space="preserve">stand-alone </w:t>
      </w:r>
      <w:r w:rsidR="007A481E">
        <w:rPr>
          <w:rFonts w:ascii="Times New Roman" w:hAnsi="Times New Roman" w:cs="Times New Roman"/>
          <w:lang w:val="it-IT"/>
        </w:rPr>
        <w:t xml:space="preserve">systems based on the lowest LcoE to be achieved over the modelling period (2012-2030). </w:t>
      </w:r>
    </w:p>
    <w:p w:rsidR="00937FA7" w:rsidRPr="00937FA7" w:rsidRDefault="00937FA7" w:rsidP="00937FA7">
      <w:pPr>
        <w:spacing w:after="120" w:line="312" w:lineRule="auto"/>
        <w:jc w:val="both"/>
        <w:rPr>
          <w:rFonts w:ascii="Times New Roman" w:hAnsi="Times New Roman" w:cs="Times New Roman"/>
          <w:lang w:val="en-US"/>
        </w:rPr>
      </w:pPr>
      <w:r w:rsidRPr="00937FA7">
        <w:rPr>
          <w:rFonts w:ascii="Times New Roman" w:hAnsi="Times New Roman" w:cs="Times New Roman"/>
          <w:lang w:val="it-IT"/>
        </w:rPr>
        <w:t>Fo</w:t>
      </w:r>
      <w:r w:rsidR="007A481E">
        <w:rPr>
          <w:rFonts w:ascii="Times New Roman" w:hAnsi="Times New Roman" w:cs="Times New Roman"/>
          <w:lang w:val="it-IT"/>
        </w:rPr>
        <w:t>r consecutive MV grid extension</w:t>
      </w:r>
      <w:r w:rsidRPr="00937FA7">
        <w:rPr>
          <w:rFonts w:ascii="Times New Roman" w:hAnsi="Times New Roman" w:cs="Times New Roman"/>
          <w:lang w:val="it-IT"/>
        </w:rPr>
        <w:t>, a</w:t>
      </w:r>
      <w:r w:rsidR="007A481E">
        <w:rPr>
          <w:rFonts w:ascii="Times New Roman" w:hAnsi="Times New Roman" w:cs="Times New Roman"/>
          <w:lang w:val="it-IT"/>
        </w:rPr>
        <w:t xml:space="preserve"> strengthening cost component was added to the previous connection point. This additional cost was</w:t>
      </w:r>
      <w:r w:rsidRPr="00937FA7">
        <w:rPr>
          <w:rFonts w:ascii="Times New Roman" w:hAnsi="Times New Roman" w:cs="Times New Roman"/>
          <w:lang w:val="it-IT"/>
        </w:rPr>
        <w:t xml:space="preserve"> set at 10% o</w:t>
      </w:r>
      <w:r w:rsidR="007A481E">
        <w:rPr>
          <w:rFonts w:ascii="Times New Roman" w:hAnsi="Times New Roman" w:cs="Times New Roman"/>
          <w:lang w:val="it-IT"/>
        </w:rPr>
        <w:t>f the capital cost</w:t>
      </w:r>
      <w:r w:rsidRPr="00937FA7">
        <w:rPr>
          <w:rFonts w:ascii="Times New Roman" w:hAnsi="Times New Roman" w:cs="Times New Roman"/>
          <w:lang w:val="it-IT"/>
        </w:rPr>
        <w:t xml:space="preserve"> required to reach the point at which the new line </w:t>
      </w:r>
      <w:r w:rsidR="007A481E">
        <w:rPr>
          <w:rFonts w:ascii="Times New Roman" w:hAnsi="Times New Roman" w:cs="Times New Roman"/>
          <w:lang w:val="it-IT"/>
        </w:rPr>
        <w:t>was</w:t>
      </w:r>
      <w:r w:rsidRPr="00937FA7">
        <w:rPr>
          <w:rFonts w:ascii="Times New Roman" w:hAnsi="Times New Roman" w:cs="Times New Roman"/>
          <w:lang w:val="it-IT"/>
        </w:rPr>
        <w:t xml:space="preserve"> being added. The maximum </w:t>
      </w:r>
      <w:r w:rsidR="007A481E">
        <w:rPr>
          <w:rFonts w:ascii="Times New Roman" w:hAnsi="Times New Roman" w:cs="Times New Roman"/>
          <w:lang w:val="it-IT"/>
        </w:rPr>
        <w:t xml:space="preserve">consecutive </w:t>
      </w:r>
      <w:r w:rsidRPr="00937FA7">
        <w:rPr>
          <w:rFonts w:ascii="Times New Roman" w:hAnsi="Times New Roman" w:cs="Times New Roman"/>
          <w:lang w:val="it-IT"/>
        </w:rPr>
        <w:t xml:space="preserve">extension of </w:t>
      </w:r>
      <w:r w:rsidR="007A481E">
        <w:rPr>
          <w:rFonts w:ascii="Times New Roman" w:hAnsi="Times New Roman" w:cs="Times New Roman"/>
          <w:lang w:val="it-IT"/>
        </w:rPr>
        <w:t>a MV line from a single point was</w:t>
      </w:r>
      <w:r w:rsidRPr="00937FA7">
        <w:rPr>
          <w:rFonts w:ascii="Times New Roman" w:hAnsi="Times New Roman" w:cs="Times New Roman"/>
          <w:lang w:val="it-IT"/>
        </w:rPr>
        <w:t xml:space="preserve"> limited to 50 km.</w:t>
      </w:r>
    </w:p>
    <w:p w:rsidR="006234DD" w:rsidRDefault="00937FA7" w:rsidP="00937FA7">
      <w:pPr>
        <w:spacing w:after="120" w:line="312" w:lineRule="auto"/>
        <w:jc w:val="both"/>
        <w:rPr>
          <w:rFonts w:ascii="Times New Roman" w:hAnsi="Times New Roman" w:cs="Times New Roman"/>
          <w:lang w:val="it-IT"/>
        </w:rPr>
      </w:pPr>
      <w:r w:rsidRPr="00937FA7">
        <w:rPr>
          <w:rFonts w:ascii="Times New Roman" w:hAnsi="Times New Roman" w:cs="Times New Roman"/>
          <w:lang w:val="it-IT"/>
        </w:rPr>
        <w:t xml:space="preserve">The length of MV and LV lines for electricity distribution within an area </w:t>
      </w:r>
      <w:r w:rsidR="006234DD">
        <w:rPr>
          <w:rFonts w:ascii="Times New Roman" w:hAnsi="Times New Roman" w:cs="Times New Roman"/>
          <w:lang w:val="it-IT"/>
        </w:rPr>
        <w:t>were</w:t>
      </w:r>
      <w:r w:rsidRPr="00937FA7">
        <w:rPr>
          <w:rFonts w:ascii="Times New Roman" w:hAnsi="Times New Roman" w:cs="Times New Roman"/>
          <w:lang w:val="it-IT"/>
        </w:rPr>
        <w:t xml:space="preserve"> calculated according to the methodology described in the following paper:</w:t>
      </w:r>
    </w:p>
    <w:p w:rsidR="00937FA7" w:rsidRPr="00937FA7" w:rsidRDefault="00937FA7" w:rsidP="00937FA7">
      <w:pPr>
        <w:spacing w:after="120" w:line="312" w:lineRule="auto"/>
        <w:jc w:val="both"/>
        <w:rPr>
          <w:rFonts w:ascii="Times New Roman" w:hAnsi="Times New Roman" w:cs="Times New Roman"/>
          <w:lang w:val="en-US"/>
        </w:rPr>
      </w:pPr>
      <w:r w:rsidRPr="00C76A8B">
        <w:rPr>
          <w:rFonts w:ascii="Times New Roman" w:hAnsi="Times New Roman" w:cs="Times New Roman"/>
          <w:i/>
          <w:lang w:val="it-IT"/>
        </w:rPr>
        <w:t>‘Model-based scenarios for rural electrification in developing countries Bas J. van Ruijven, Jules Schers, Detlef P. van Vuuren (Energy, 2012)’</w:t>
      </w:r>
    </w:p>
    <w:p w:rsidR="00937FA7" w:rsidRPr="00937FA7" w:rsidRDefault="00937FA7" w:rsidP="00937FA7">
      <w:pPr>
        <w:spacing w:after="120" w:line="312" w:lineRule="auto"/>
        <w:jc w:val="both"/>
        <w:rPr>
          <w:rFonts w:ascii="Times New Roman" w:hAnsi="Times New Roman" w:cs="Times New Roman"/>
          <w:lang w:val="en-US"/>
        </w:rPr>
      </w:pPr>
      <w:r w:rsidRPr="00937FA7">
        <w:rPr>
          <w:rFonts w:ascii="Times New Roman" w:hAnsi="Times New Roman" w:cs="Times New Roman"/>
          <w:lang w:val="it-IT"/>
        </w:rPr>
        <w:t xml:space="preserve">For micro-grids it </w:t>
      </w:r>
      <w:r w:rsidR="006234DD">
        <w:rPr>
          <w:rFonts w:ascii="Times New Roman" w:hAnsi="Times New Roman" w:cs="Times New Roman"/>
          <w:lang w:val="it-IT"/>
        </w:rPr>
        <w:t>was</w:t>
      </w:r>
      <w:r w:rsidRPr="00937FA7">
        <w:rPr>
          <w:rFonts w:ascii="Times New Roman" w:hAnsi="Times New Roman" w:cs="Times New Roman"/>
          <w:lang w:val="it-IT"/>
        </w:rPr>
        <w:t xml:space="preserve"> assumed that:</w:t>
      </w:r>
    </w:p>
    <w:p w:rsidR="00937FA7" w:rsidRPr="00937FA7" w:rsidRDefault="00937FA7" w:rsidP="00C76A8B">
      <w:pPr>
        <w:spacing w:after="0" w:line="312" w:lineRule="auto"/>
        <w:jc w:val="both"/>
        <w:rPr>
          <w:rFonts w:ascii="Times New Roman" w:hAnsi="Times New Roman" w:cs="Times New Roman"/>
          <w:lang w:val="en-US"/>
        </w:rPr>
      </w:pPr>
      <w:r w:rsidRPr="00937FA7">
        <w:rPr>
          <w:rFonts w:ascii="Times New Roman" w:hAnsi="Times New Roman" w:cs="Times New Roman"/>
          <w:lang w:val="it-IT"/>
        </w:rPr>
        <w:t>–  No MV lines are necessary</w:t>
      </w:r>
    </w:p>
    <w:p w:rsidR="00937FA7" w:rsidRDefault="00937FA7" w:rsidP="00937FA7">
      <w:pPr>
        <w:spacing w:after="120" w:line="312" w:lineRule="auto"/>
        <w:jc w:val="both"/>
        <w:rPr>
          <w:rFonts w:ascii="Times New Roman" w:hAnsi="Times New Roman" w:cs="Times New Roman"/>
          <w:lang w:val="it-IT"/>
        </w:rPr>
      </w:pPr>
      <w:r w:rsidRPr="00937FA7">
        <w:rPr>
          <w:rFonts w:ascii="Times New Roman" w:hAnsi="Times New Roman" w:cs="Times New Roman"/>
          <w:lang w:val="it-IT"/>
        </w:rPr>
        <w:t xml:space="preserve">–  The length of LV lines </w:t>
      </w:r>
      <w:r w:rsidR="006234DD">
        <w:rPr>
          <w:rFonts w:ascii="Times New Roman" w:hAnsi="Times New Roman" w:cs="Times New Roman"/>
          <w:lang w:val="it-IT"/>
        </w:rPr>
        <w:t>is</w:t>
      </w:r>
      <w:r w:rsidRPr="00937FA7">
        <w:rPr>
          <w:rFonts w:ascii="Times New Roman" w:hAnsi="Times New Roman" w:cs="Times New Roman"/>
          <w:lang w:val="it-IT"/>
        </w:rPr>
        <w:t xml:space="preserve"> 3/4 </w:t>
      </w:r>
      <w:r w:rsidR="006234DD">
        <w:rPr>
          <w:rFonts w:ascii="Times New Roman" w:hAnsi="Times New Roman" w:cs="Times New Roman"/>
          <w:lang w:val="it-IT"/>
        </w:rPr>
        <w:t xml:space="preserve">of what would be required for </w:t>
      </w:r>
      <w:r w:rsidRPr="00937FA7">
        <w:rPr>
          <w:rFonts w:ascii="Times New Roman" w:hAnsi="Times New Roman" w:cs="Times New Roman"/>
          <w:lang w:val="it-IT"/>
        </w:rPr>
        <w:t xml:space="preserve">grid extension in the same area. </w:t>
      </w:r>
    </w:p>
    <w:p w:rsidR="00756C19" w:rsidRPr="00937FA7" w:rsidRDefault="00756C19" w:rsidP="00937FA7">
      <w:pPr>
        <w:spacing w:after="120" w:line="312" w:lineRule="auto"/>
        <w:jc w:val="both"/>
        <w:rPr>
          <w:rFonts w:ascii="Times New Roman" w:hAnsi="Times New Roman" w:cs="Times New Roman"/>
          <w:lang w:val="en-US"/>
        </w:rPr>
      </w:pPr>
    </w:p>
    <w:p w:rsidR="006234DD" w:rsidRPr="006234DD" w:rsidRDefault="006234DD">
      <w:pPr>
        <w:rPr>
          <w:rFonts w:ascii="Times New Roman" w:hAnsi="Times New Roman" w:cs="Times New Roman"/>
          <w:color w:val="FF0000"/>
          <w:lang w:val="en-US"/>
        </w:rPr>
      </w:pPr>
      <w:r w:rsidRPr="006234DD">
        <w:rPr>
          <w:rFonts w:ascii="Times New Roman" w:hAnsi="Times New Roman" w:cs="Times New Roman"/>
          <w:color w:val="FF0000"/>
          <w:u w:val="single"/>
          <w:lang w:val="en-US"/>
        </w:rPr>
        <w:t>Note</w:t>
      </w:r>
      <w:r>
        <w:rPr>
          <w:rFonts w:ascii="Times New Roman" w:hAnsi="Times New Roman" w:cs="Times New Roman"/>
          <w:color w:val="FF0000"/>
          <w:lang w:val="en-US"/>
        </w:rPr>
        <w:t xml:space="preserve">: </w:t>
      </w:r>
      <w:r w:rsidRPr="006234DD">
        <w:rPr>
          <w:rFonts w:ascii="Times New Roman" w:hAnsi="Times New Roman" w:cs="Times New Roman"/>
          <w:color w:val="FF0000"/>
          <w:lang w:val="en-US"/>
        </w:rPr>
        <w:t>At the moment we are updating the model with new costing data. Also, 30 new scenarios will be available in the near future.</w:t>
      </w:r>
      <w:r w:rsidR="00B54AD5">
        <w:rPr>
          <w:rFonts w:ascii="Times New Roman" w:hAnsi="Times New Roman" w:cs="Times New Roman"/>
          <w:color w:val="FF0000"/>
          <w:lang w:val="en-US"/>
        </w:rPr>
        <w:t xml:space="preserve"> </w:t>
      </w:r>
    </w:p>
    <w:p w:rsidR="006234DD" w:rsidRDefault="006234DD">
      <w:pPr>
        <w:rPr>
          <w:rFonts w:ascii="Times New Roman" w:hAnsi="Times New Roman" w:cs="Times New Roman"/>
          <w:lang w:val="en-US"/>
        </w:rPr>
      </w:pPr>
    </w:p>
    <w:p w:rsidR="00756C19" w:rsidRPr="00547702" w:rsidRDefault="00756C19">
      <w:pPr>
        <w:rPr>
          <w:rFonts w:ascii="Times New Roman" w:hAnsi="Times New Roman" w:cs="Times New Roman"/>
          <w:lang w:val="en-US"/>
        </w:rPr>
      </w:pPr>
    </w:p>
    <w:p w:rsidR="00D9435F" w:rsidRPr="00756C19" w:rsidRDefault="00D9435F" w:rsidP="00756C19">
      <w:pPr>
        <w:pStyle w:val="Bibliography"/>
        <w:spacing w:line="360" w:lineRule="auto"/>
        <w:ind w:left="259" w:hanging="259"/>
        <w:rPr>
          <w:rFonts w:ascii="Times New Roman" w:hAnsi="Times New Roman" w:cs="Times New Roman"/>
          <w:i/>
          <w:sz w:val="18"/>
          <w:szCs w:val="18"/>
          <w:lang w:val="en-US"/>
        </w:rPr>
      </w:pPr>
      <w:r w:rsidRPr="00756C19">
        <w:rPr>
          <w:rFonts w:ascii="Times New Roman" w:hAnsi="Times New Roman" w:cs="Times New Roman"/>
          <w:i/>
          <w:sz w:val="18"/>
          <w:szCs w:val="18"/>
          <w:lang w:val="en-US"/>
        </w:rPr>
        <w:fldChar w:fldCharType="begin"/>
      </w:r>
      <w:r w:rsidRPr="00756C19">
        <w:rPr>
          <w:rFonts w:ascii="Times New Roman" w:hAnsi="Times New Roman" w:cs="Times New Roman"/>
          <w:i/>
          <w:sz w:val="18"/>
          <w:szCs w:val="18"/>
          <w:lang w:val="en-US"/>
        </w:rPr>
        <w:instrText xml:space="preserve"> ADDIN ZOTERO_BIBL {"custom":[]} CSL_BIBLIOGRAPHY </w:instrText>
      </w:r>
      <w:r w:rsidRPr="00756C19">
        <w:rPr>
          <w:rFonts w:ascii="Times New Roman" w:hAnsi="Times New Roman" w:cs="Times New Roman"/>
          <w:i/>
          <w:sz w:val="18"/>
          <w:szCs w:val="18"/>
          <w:lang w:val="en-US"/>
        </w:rPr>
        <w:fldChar w:fldCharType="separate"/>
      </w:r>
      <w:r w:rsidRPr="00756C19">
        <w:rPr>
          <w:rFonts w:ascii="Times New Roman" w:hAnsi="Times New Roman" w:cs="Times New Roman"/>
          <w:i/>
          <w:sz w:val="18"/>
          <w:szCs w:val="18"/>
          <w:lang w:val="en-US"/>
        </w:rPr>
        <w:t>1.</w:t>
      </w:r>
      <w:r w:rsidRPr="00756C19">
        <w:rPr>
          <w:rFonts w:ascii="Times New Roman" w:hAnsi="Times New Roman" w:cs="Times New Roman"/>
          <w:i/>
          <w:sz w:val="18"/>
          <w:szCs w:val="18"/>
          <w:lang w:val="en-US"/>
        </w:rPr>
        <w:tab/>
        <w:t xml:space="preserve">The World Bank. Energy Sector Management Assistance Program. (2016). Available at: https://esmap.org/dlmv698-3545. </w:t>
      </w:r>
    </w:p>
    <w:p w:rsidR="00D9435F" w:rsidRPr="00756C19" w:rsidRDefault="00D9435F" w:rsidP="00756C19">
      <w:pPr>
        <w:pStyle w:val="Bibliography"/>
        <w:spacing w:line="360" w:lineRule="auto"/>
        <w:ind w:left="259" w:hanging="259"/>
        <w:rPr>
          <w:rFonts w:ascii="Times New Roman" w:hAnsi="Times New Roman" w:cs="Times New Roman"/>
          <w:i/>
          <w:sz w:val="18"/>
          <w:szCs w:val="18"/>
          <w:lang w:val="en-US"/>
        </w:rPr>
      </w:pPr>
      <w:r w:rsidRPr="00756C19">
        <w:rPr>
          <w:rFonts w:ascii="Times New Roman" w:hAnsi="Times New Roman" w:cs="Times New Roman"/>
          <w:i/>
          <w:sz w:val="18"/>
          <w:szCs w:val="18"/>
          <w:lang w:val="en-US"/>
        </w:rPr>
        <w:t>2.</w:t>
      </w:r>
      <w:r w:rsidRPr="00756C19">
        <w:rPr>
          <w:rFonts w:ascii="Times New Roman" w:hAnsi="Times New Roman" w:cs="Times New Roman"/>
          <w:i/>
          <w:sz w:val="18"/>
          <w:szCs w:val="18"/>
          <w:lang w:val="en-US"/>
        </w:rPr>
        <w:tab/>
        <w:t xml:space="preserve">IRENA. </w:t>
      </w:r>
      <w:r w:rsidRPr="00756C19">
        <w:rPr>
          <w:rFonts w:ascii="Times New Roman" w:hAnsi="Times New Roman" w:cs="Times New Roman"/>
          <w:i/>
          <w:iCs/>
          <w:sz w:val="18"/>
          <w:szCs w:val="18"/>
          <w:lang w:val="en-US"/>
        </w:rPr>
        <w:t>Renewable energy technologies: Cost analysis series, Wind Power</w:t>
      </w:r>
      <w:r w:rsidRPr="00756C19">
        <w:rPr>
          <w:rFonts w:ascii="Times New Roman" w:hAnsi="Times New Roman" w:cs="Times New Roman"/>
          <w:i/>
          <w:sz w:val="18"/>
          <w:szCs w:val="18"/>
          <w:lang w:val="en-US"/>
        </w:rPr>
        <w:t>. (2012).</w:t>
      </w:r>
    </w:p>
    <w:p w:rsidR="00D9435F" w:rsidRPr="00756C19" w:rsidRDefault="00D9435F" w:rsidP="00756C19">
      <w:pPr>
        <w:pStyle w:val="Bibliography"/>
        <w:spacing w:line="360" w:lineRule="auto"/>
        <w:ind w:left="259" w:hanging="259"/>
        <w:rPr>
          <w:rFonts w:ascii="Times New Roman" w:hAnsi="Times New Roman" w:cs="Times New Roman"/>
          <w:i/>
          <w:sz w:val="18"/>
          <w:szCs w:val="18"/>
          <w:lang w:val="en-US"/>
        </w:rPr>
      </w:pPr>
      <w:r w:rsidRPr="00756C19">
        <w:rPr>
          <w:rFonts w:ascii="Times New Roman" w:hAnsi="Times New Roman" w:cs="Times New Roman"/>
          <w:i/>
          <w:sz w:val="18"/>
          <w:szCs w:val="18"/>
          <w:lang w:val="en-US"/>
        </w:rPr>
        <w:t>3.</w:t>
      </w:r>
      <w:r w:rsidRPr="00756C19">
        <w:rPr>
          <w:rFonts w:ascii="Times New Roman" w:hAnsi="Times New Roman" w:cs="Times New Roman"/>
          <w:i/>
          <w:sz w:val="18"/>
          <w:szCs w:val="18"/>
          <w:lang w:val="en-US"/>
        </w:rPr>
        <w:tab/>
        <w:t xml:space="preserve">IRENA. </w:t>
      </w:r>
      <w:r w:rsidRPr="00756C19">
        <w:rPr>
          <w:rFonts w:ascii="Times New Roman" w:hAnsi="Times New Roman" w:cs="Times New Roman"/>
          <w:i/>
          <w:iCs/>
          <w:sz w:val="18"/>
          <w:szCs w:val="18"/>
          <w:lang w:val="en-US"/>
        </w:rPr>
        <w:t>Renewable energy technologies: Cost analysis series; Hydropower</w:t>
      </w:r>
      <w:r w:rsidRPr="00756C19">
        <w:rPr>
          <w:rFonts w:ascii="Times New Roman" w:hAnsi="Times New Roman" w:cs="Times New Roman"/>
          <w:i/>
          <w:sz w:val="18"/>
          <w:szCs w:val="18"/>
          <w:lang w:val="en-US"/>
        </w:rPr>
        <w:t>. (2012).</w:t>
      </w:r>
    </w:p>
    <w:p w:rsidR="00D9435F" w:rsidRPr="00756C19" w:rsidRDefault="00D9435F" w:rsidP="00756C19">
      <w:pPr>
        <w:pStyle w:val="Bibliography"/>
        <w:spacing w:line="360" w:lineRule="auto"/>
        <w:ind w:left="259" w:hanging="259"/>
        <w:rPr>
          <w:rFonts w:ascii="Times New Roman" w:hAnsi="Times New Roman" w:cs="Times New Roman"/>
          <w:i/>
          <w:sz w:val="18"/>
          <w:szCs w:val="18"/>
          <w:lang w:val="en-US"/>
        </w:rPr>
      </w:pPr>
      <w:r w:rsidRPr="00756C19">
        <w:rPr>
          <w:rFonts w:ascii="Times New Roman" w:hAnsi="Times New Roman" w:cs="Times New Roman"/>
          <w:i/>
          <w:sz w:val="18"/>
          <w:szCs w:val="18"/>
          <w:lang w:val="en-US"/>
        </w:rPr>
        <w:t>4.</w:t>
      </w:r>
      <w:r w:rsidRPr="00756C19">
        <w:rPr>
          <w:rFonts w:ascii="Times New Roman" w:hAnsi="Times New Roman" w:cs="Times New Roman"/>
          <w:i/>
          <w:sz w:val="18"/>
          <w:szCs w:val="18"/>
          <w:lang w:val="en-US"/>
        </w:rPr>
        <w:tab/>
        <w:t xml:space="preserve">IRENA. </w:t>
      </w:r>
      <w:r w:rsidRPr="00756C19">
        <w:rPr>
          <w:rFonts w:ascii="Times New Roman" w:hAnsi="Times New Roman" w:cs="Times New Roman"/>
          <w:i/>
          <w:iCs/>
          <w:sz w:val="18"/>
          <w:szCs w:val="18"/>
          <w:lang w:val="en-US"/>
        </w:rPr>
        <w:t>Renewable Energy Technologies: Cost analysis series; Solar Photovoltaics</w:t>
      </w:r>
      <w:r w:rsidRPr="00756C19">
        <w:rPr>
          <w:rFonts w:ascii="Times New Roman" w:hAnsi="Times New Roman" w:cs="Times New Roman"/>
          <w:i/>
          <w:sz w:val="18"/>
          <w:szCs w:val="18"/>
          <w:lang w:val="en-US"/>
        </w:rPr>
        <w:t>. (2012).</w:t>
      </w:r>
    </w:p>
    <w:p w:rsidR="00D9435F" w:rsidRPr="00756C19" w:rsidRDefault="00D9435F" w:rsidP="00756C19">
      <w:pPr>
        <w:pStyle w:val="Bibliography"/>
        <w:spacing w:line="360" w:lineRule="auto"/>
        <w:ind w:left="259" w:hanging="259"/>
        <w:rPr>
          <w:rFonts w:ascii="Times New Roman" w:hAnsi="Times New Roman" w:cs="Times New Roman"/>
          <w:i/>
          <w:sz w:val="18"/>
          <w:szCs w:val="18"/>
          <w:lang w:val="en-US"/>
        </w:rPr>
      </w:pPr>
      <w:r w:rsidRPr="00756C19">
        <w:rPr>
          <w:rFonts w:ascii="Times New Roman" w:hAnsi="Times New Roman" w:cs="Times New Roman"/>
          <w:i/>
          <w:sz w:val="18"/>
          <w:szCs w:val="18"/>
          <w:lang w:val="en-US"/>
        </w:rPr>
        <w:t>5.</w:t>
      </w:r>
      <w:r w:rsidRPr="00756C19">
        <w:rPr>
          <w:rFonts w:ascii="Times New Roman" w:hAnsi="Times New Roman" w:cs="Times New Roman"/>
          <w:i/>
          <w:sz w:val="18"/>
          <w:szCs w:val="18"/>
          <w:lang w:val="en-US"/>
        </w:rPr>
        <w:tab/>
        <w:t xml:space="preserve">Nerini, F. F. </w:t>
      </w:r>
      <w:r w:rsidRPr="00756C19">
        <w:rPr>
          <w:rFonts w:ascii="Times New Roman" w:hAnsi="Times New Roman" w:cs="Times New Roman"/>
          <w:i/>
          <w:iCs/>
          <w:sz w:val="18"/>
          <w:szCs w:val="18"/>
          <w:lang w:val="en-US"/>
        </w:rPr>
        <w:t>et al.</w:t>
      </w:r>
      <w:r w:rsidRPr="00756C19">
        <w:rPr>
          <w:rFonts w:ascii="Times New Roman" w:hAnsi="Times New Roman" w:cs="Times New Roman"/>
          <w:i/>
          <w:sz w:val="18"/>
          <w:szCs w:val="18"/>
          <w:lang w:val="en-US"/>
        </w:rPr>
        <w:t xml:space="preserve"> A cost comparison of technology approaches for improving access to electricity services. </w:t>
      </w:r>
      <w:r w:rsidRPr="00756C19">
        <w:rPr>
          <w:rFonts w:ascii="Times New Roman" w:hAnsi="Times New Roman" w:cs="Times New Roman"/>
          <w:i/>
          <w:iCs/>
          <w:sz w:val="18"/>
          <w:szCs w:val="18"/>
          <w:lang w:val="en-US"/>
        </w:rPr>
        <w:t>Energy</w:t>
      </w:r>
      <w:r w:rsidRPr="00756C19">
        <w:rPr>
          <w:rFonts w:ascii="Times New Roman" w:hAnsi="Times New Roman" w:cs="Times New Roman"/>
          <w:i/>
          <w:sz w:val="18"/>
          <w:szCs w:val="18"/>
          <w:lang w:val="en-US"/>
        </w:rPr>
        <w:t xml:space="preserve"> </w:t>
      </w:r>
      <w:r w:rsidRPr="00756C19">
        <w:rPr>
          <w:rFonts w:ascii="Times New Roman" w:hAnsi="Times New Roman" w:cs="Times New Roman"/>
          <w:b/>
          <w:bCs/>
          <w:i/>
          <w:sz w:val="18"/>
          <w:szCs w:val="18"/>
          <w:lang w:val="en-US"/>
        </w:rPr>
        <w:t>95,</w:t>
      </w:r>
      <w:r w:rsidRPr="00756C19">
        <w:rPr>
          <w:rFonts w:ascii="Times New Roman" w:hAnsi="Times New Roman" w:cs="Times New Roman"/>
          <w:i/>
          <w:sz w:val="18"/>
          <w:szCs w:val="18"/>
          <w:lang w:val="en-US"/>
        </w:rPr>
        <w:t xml:space="preserve"> 255–265 (2016).</w:t>
      </w:r>
    </w:p>
    <w:p w:rsidR="009F2C8C" w:rsidRPr="00756C19" w:rsidRDefault="00D9435F" w:rsidP="00756C19">
      <w:pPr>
        <w:pStyle w:val="Bibliography"/>
        <w:spacing w:line="360" w:lineRule="auto"/>
        <w:ind w:left="259" w:hanging="259"/>
        <w:rPr>
          <w:rFonts w:ascii="Times New Roman" w:hAnsi="Times New Roman" w:cs="Times New Roman"/>
          <w:i/>
          <w:sz w:val="18"/>
          <w:szCs w:val="18"/>
          <w:lang w:val="en-US"/>
        </w:rPr>
      </w:pPr>
      <w:r w:rsidRPr="00756C19">
        <w:rPr>
          <w:rFonts w:ascii="Times New Roman" w:hAnsi="Times New Roman" w:cs="Times New Roman"/>
          <w:i/>
          <w:sz w:val="18"/>
          <w:szCs w:val="18"/>
          <w:lang w:val="en-US"/>
        </w:rPr>
        <w:t>6.</w:t>
      </w:r>
      <w:r w:rsidRPr="00756C19">
        <w:rPr>
          <w:rFonts w:ascii="Times New Roman" w:hAnsi="Times New Roman" w:cs="Times New Roman"/>
          <w:i/>
          <w:sz w:val="18"/>
          <w:szCs w:val="18"/>
          <w:lang w:val="en-US"/>
        </w:rPr>
        <w:tab/>
        <w:t xml:space="preserve">NEA, IEA &amp; OECD. </w:t>
      </w:r>
      <w:r w:rsidRPr="00756C19">
        <w:rPr>
          <w:rFonts w:ascii="Times New Roman" w:hAnsi="Times New Roman" w:cs="Times New Roman"/>
          <w:i/>
          <w:iCs/>
          <w:sz w:val="18"/>
          <w:szCs w:val="18"/>
          <w:lang w:val="en-US"/>
        </w:rPr>
        <w:t>Projected Costs of Generating Electricity 2015</w:t>
      </w:r>
      <w:r w:rsidRPr="00756C19">
        <w:rPr>
          <w:rFonts w:ascii="Times New Roman" w:hAnsi="Times New Roman" w:cs="Times New Roman"/>
          <w:i/>
          <w:sz w:val="18"/>
          <w:szCs w:val="18"/>
          <w:lang w:val="en-US"/>
        </w:rPr>
        <w:t>. (Organisation for Economic Co-operation and Development, 2015).</w:t>
      </w:r>
      <w:r w:rsidRPr="00756C19">
        <w:rPr>
          <w:rFonts w:ascii="Times New Roman" w:hAnsi="Times New Roman" w:cs="Times New Roman"/>
          <w:i/>
          <w:sz w:val="18"/>
          <w:szCs w:val="18"/>
          <w:lang w:val="en-US"/>
        </w:rPr>
        <w:fldChar w:fldCharType="end"/>
      </w:r>
    </w:p>
    <w:sectPr w:rsidR="009F2C8C" w:rsidRPr="00756C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A40"/>
    <w:rsid w:val="000B0F3E"/>
    <w:rsid w:val="001A2648"/>
    <w:rsid w:val="001D785A"/>
    <w:rsid w:val="00230AD8"/>
    <w:rsid w:val="00390BBD"/>
    <w:rsid w:val="003F52A3"/>
    <w:rsid w:val="004A1E59"/>
    <w:rsid w:val="00510ADD"/>
    <w:rsid w:val="00547702"/>
    <w:rsid w:val="006234DD"/>
    <w:rsid w:val="00756C19"/>
    <w:rsid w:val="007A481E"/>
    <w:rsid w:val="008263B5"/>
    <w:rsid w:val="008A2A40"/>
    <w:rsid w:val="008D4AE9"/>
    <w:rsid w:val="00937FA7"/>
    <w:rsid w:val="00942A8F"/>
    <w:rsid w:val="009E4358"/>
    <w:rsid w:val="009F2C8C"/>
    <w:rsid w:val="00A8007A"/>
    <w:rsid w:val="00AB14D8"/>
    <w:rsid w:val="00B54AD5"/>
    <w:rsid w:val="00B623D3"/>
    <w:rsid w:val="00C76A8B"/>
    <w:rsid w:val="00D9435F"/>
    <w:rsid w:val="00E525FE"/>
    <w:rsid w:val="00F63F35"/>
    <w:rsid w:val="00F91E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3CFA1-167E-4A17-957A-160646B7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2C8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0B0F3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9E435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E4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358"/>
    <w:rPr>
      <w:rFonts w:ascii="Segoe UI" w:hAnsi="Segoe UI" w:cs="Segoe UI"/>
      <w:sz w:val="18"/>
      <w:szCs w:val="18"/>
    </w:rPr>
  </w:style>
  <w:style w:type="paragraph" w:styleId="Bibliography">
    <w:name w:val="Bibliography"/>
    <w:basedOn w:val="Normal"/>
    <w:next w:val="Normal"/>
    <w:uiPriority w:val="37"/>
    <w:unhideWhenUsed/>
    <w:rsid w:val="00D9435F"/>
    <w:pPr>
      <w:tabs>
        <w:tab w:val="left" w:pos="264"/>
      </w:tabs>
      <w:spacing w:after="0" w:line="480" w:lineRule="auto"/>
      <w:ind w:left="264" w:hanging="264"/>
    </w:pPr>
  </w:style>
  <w:style w:type="character" w:customStyle="1" w:styleId="Heading1Char">
    <w:name w:val="Heading 1 Char"/>
    <w:basedOn w:val="DefaultParagraphFont"/>
    <w:link w:val="Heading1"/>
    <w:uiPriority w:val="9"/>
    <w:rsid w:val="009F2C8C"/>
    <w:rPr>
      <w:rFonts w:asciiTheme="majorHAnsi" w:eastAsiaTheme="majorEastAsia" w:hAnsiTheme="majorHAnsi" w:cstheme="majorBidi"/>
      <w:color w:val="2E74B5" w:themeColor="accent1" w:themeShade="BF"/>
      <w:sz w:val="32"/>
      <w:szCs w:val="32"/>
      <w:lang w:val="en-US"/>
    </w:rPr>
  </w:style>
  <w:style w:type="character" w:styleId="CommentReference">
    <w:name w:val="annotation reference"/>
    <w:basedOn w:val="DefaultParagraphFont"/>
    <w:uiPriority w:val="99"/>
    <w:semiHidden/>
    <w:unhideWhenUsed/>
    <w:rsid w:val="008263B5"/>
    <w:rPr>
      <w:sz w:val="16"/>
      <w:szCs w:val="16"/>
    </w:rPr>
  </w:style>
  <w:style w:type="paragraph" w:styleId="CommentText">
    <w:name w:val="annotation text"/>
    <w:basedOn w:val="Normal"/>
    <w:link w:val="CommentTextChar"/>
    <w:uiPriority w:val="99"/>
    <w:semiHidden/>
    <w:unhideWhenUsed/>
    <w:rsid w:val="008263B5"/>
    <w:pPr>
      <w:spacing w:line="240" w:lineRule="auto"/>
    </w:pPr>
    <w:rPr>
      <w:sz w:val="20"/>
      <w:szCs w:val="20"/>
    </w:rPr>
  </w:style>
  <w:style w:type="character" w:customStyle="1" w:styleId="CommentTextChar">
    <w:name w:val="Comment Text Char"/>
    <w:basedOn w:val="DefaultParagraphFont"/>
    <w:link w:val="CommentText"/>
    <w:uiPriority w:val="99"/>
    <w:semiHidden/>
    <w:rsid w:val="008263B5"/>
    <w:rPr>
      <w:sz w:val="20"/>
      <w:szCs w:val="20"/>
    </w:rPr>
  </w:style>
  <w:style w:type="paragraph" w:styleId="CommentSubject">
    <w:name w:val="annotation subject"/>
    <w:basedOn w:val="CommentText"/>
    <w:next w:val="CommentText"/>
    <w:link w:val="CommentSubjectChar"/>
    <w:uiPriority w:val="99"/>
    <w:semiHidden/>
    <w:unhideWhenUsed/>
    <w:rsid w:val="008263B5"/>
    <w:rPr>
      <w:b/>
      <w:bCs/>
    </w:rPr>
  </w:style>
  <w:style w:type="character" w:customStyle="1" w:styleId="CommentSubjectChar">
    <w:name w:val="Comment Subject Char"/>
    <w:basedOn w:val="CommentTextChar"/>
    <w:link w:val="CommentSubject"/>
    <w:uiPriority w:val="99"/>
    <w:semiHidden/>
    <w:rsid w:val="008263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52703">
      <w:bodyDiv w:val="1"/>
      <w:marLeft w:val="0"/>
      <w:marRight w:val="0"/>
      <w:marTop w:val="0"/>
      <w:marBottom w:val="0"/>
      <w:divBdr>
        <w:top w:val="none" w:sz="0" w:space="0" w:color="auto"/>
        <w:left w:val="none" w:sz="0" w:space="0" w:color="auto"/>
        <w:bottom w:val="none" w:sz="0" w:space="0" w:color="auto"/>
        <w:right w:val="none" w:sz="0" w:space="0" w:color="auto"/>
      </w:divBdr>
    </w:div>
    <w:div w:id="111286770">
      <w:bodyDiv w:val="1"/>
      <w:marLeft w:val="0"/>
      <w:marRight w:val="0"/>
      <w:marTop w:val="0"/>
      <w:marBottom w:val="0"/>
      <w:divBdr>
        <w:top w:val="none" w:sz="0" w:space="0" w:color="auto"/>
        <w:left w:val="none" w:sz="0" w:space="0" w:color="auto"/>
        <w:bottom w:val="none" w:sz="0" w:space="0" w:color="auto"/>
        <w:right w:val="none" w:sz="0" w:space="0" w:color="auto"/>
      </w:divBdr>
    </w:div>
    <w:div w:id="763110752">
      <w:bodyDiv w:val="1"/>
      <w:marLeft w:val="0"/>
      <w:marRight w:val="0"/>
      <w:marTop w:val="0"/>
      <w:marBottom w:val="0"/>
      <w:divBdr>
        <w:top w:val="none" w:sz="0" w:space="0" w:color="auto"/>
        <w:left w:val="none" w:sz="0" w:space="0" w:color="auto"/>
        <w:bottom w:val="none" w:sz="0" w:space="0" w:color="auto"/>
        <w:right w:val="none" w:sz="0" w:space="0" w:color="auto"/>
      </w:divBdr>
    </w:div>
    <w:div w:id="897058481">
      <w:bodyDiv w:val="1"/>
      <w:marLeft w:val="0"/>
      <w:marRight w:val="0"/>
      <w:marTop w:val="0"/>
      <w:marBottom w:val="0"/>
      <w:divBdr>
        <w:top w:val="none" w:sz="0" w:space="0" w:color="auto"/>
        <w:left w:val="none" w:sz="0" w:space="0" w:color="auto"/>
        <w:bottom w:val="none" w:sz="0" w:space="0" w:color="auto"/>
        <w:right w:val="none" w:sz="0" w:space="0" w:color="auto"/>
      </w:divBdr>
    </w:div>
    <w:div w:id="1081952820">
      <w:bodyDiv w:val="1"/>
      <w:marLeft w:val="0"/>
      <w:marRight w:val="0"/>
      <w:marTop w:val="0"/>
      <w:marBottom w:val="0"/>
      <w:divBdr>
        <w:top w:val="none" w:sz="0" w:space="0" w:color="auto"/>
        <w:left w:val="none" w:sz="0" w:space="0" w:color="auto"/>
        <w:bottom w:val="none" w:sz="0" w:space="0" w:color="auto"/>
        <w:right w:val="none" w:sz="0" w:space="0" w:color="auto"/>
      </w:divBdr>
    </w:div>
    <w:div w:id="1552305555">
      <w:bodyDiv w:val="1"/>
      <w:marLeft w:val="0"/>
      <w:marRight w:val="0"/>
      <w:marTop w:val="0"/>
      <w:marBottom w:val="0"/>
      <w:divBdr>
        <w:top w:val="none" w:sz="0" w:space="0" w:color="auto"/>
        <w:left w:val="none" w:sz="0" w:space="0" w:color="auto"/>
        <w:bottom w:val="none" w:sz="0" w:space="0" w:color="auto"/>
        <w:right w:val="none" w:sz="0" w:space="0" w:color="auto"/>
      </w:divBdr>
    </w:div>
    <w:div w:id="167217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Int151</b:Tag>
    <b:SourceType>Report</b:SourceType>
    <b:Guid>{8F1BDA54-2CB9-4237-A9D1-556D87695D26}</b:Guid>
    <b:Title>World Energy Outlook</b:Title>
    <b:Year>2015</b:Year>
    <b:City>Paris</b:City>
    <b:Publisher>IEA</b:Publisher>
    <b:Author>
      <b:Author>
        <b:NameList>
          <b:Person>
            <b:Last>(IEA)</b:Last>
            <b:First>International</b:First>
            <b:Middle>Energy Agency</b:Middle>
          </b:Person>
        </b:NameList>
      </b:Author>
    </b:Author>
    <b:RefOrder>1</b:RefOrder>
  </b:Source>
</b:Sources>
</file>

<file path=customXml/itemProps1.xml><?xml version="1.0" encoding="utf-8"?>
<ds:datastoreItem xmlns:ds="http://schemas.openxmlformats.org/officeDocument/2006/customXml" ds:itemID="{CC8E74EA-C652-4AB0-8E8E-9231A450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Alexandros Korkovelos</cp:lastModifiedBy>
  <cp:revision>9</cp:revision>
  <dcterms:created xsi:type="dcterms:W3CDTF">2016-02-29T09:29:00Z</dcterms:created>
  <dcterms:modified xsi:type="dcterms:W3CDTF">2016-09-27T12:01:00Z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id="tT6QHEA9"/&gt;&lt;style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