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FOI Insights: public user guide</w:t>
      </w:r>
    </w:p>
    <w:p>
      <w:r>
        <w:t>FOI Insights presents Australian Government freedom-of-information (FOI) statistics. Every figure is computed from the published source files. No number is typed by hand.</w:t>
      </w:r>
    </w:p>
    <w:p>
      <w:r>
        <w:t>The site covers the financial years 2019-20 to 2025-26. The 2025-26 file is a part year: it reports July 2025 to March 2026 (Q1 to Q3), published by the OAIC on 18 May 2026. Earlier years are complete July to June years.</w:t>
      </w:r>
    </w:p>
    <w:p>
      <w:r>
        <w:t>Eight headline figures for Q1 2025-26 were read from the OAIC's published dashboard. The workbook reports that year cumulatively, so a single quarter cannot be recovered from it. Everything else is computed from the workbooks.</w:t>
      </w:r>
    </w:p>
    <w:p>
      <w:pPr>
        <w:pStyle w:val="Heading1"/>
      </w:pPr>
      <w:r>
        <w:t>The pages</w:t>
      </w:r>
    </w:p>
    <w:p>
      <w:pPr>
        <w:pStyle w:val="Heading2"/>
      </w:pPr>
      <w:r>
        <w:t>Overview</w:t>
      </w:r>
    </w:p>
    <w:p>
      <w:pPr>
        <w:pStyle w:val="ListBullet"/>
      </w:pPr>
      <w:r>
        <w:t>FOI at a glance: the eight Q1 2025-26 headline figures, plus the requests received trend by year. The filters do not reach the headline tiles; they are national totals, and the page says so.</w:t>
      </w:r>
    </w:p>
    <w:p>
      <w:pPr>
        <w:pStyle w:val="Heading2"/>
      </w:pPr>
      <w:r>
        <w:t>Requests</w:t>
      </w:r>
    </w:p>
    <w:p>
      <w:pPr>
        <w:pStyle w:val="ListBullet"/>
      </w:pPr>
      <w:r>
        <w:t>Requests received: national totals by year, with the channel split (requests from applicants, and requests received on transfer from another agency).</w:t>
      </w:r>
    </w:p>
    <w:p>
      <w:pPr>
        <w:pStyle w:val="ListBullet"/>
      </w:pPr>
      <w:r>
        <w:t>Key agency contributions: the 20 agencies with the most requests received.</w:t>
      </w:r>
    </w:p>
    <w:p>
      <w:pPr>
        <w:pStyle w:val="ListBullet"/>
      </w:pPr>
      <w:r>
        <w:t>Requests finalised: national totals by year.</w:t>
      </w:r>
    </w:p>
    <w:p>
      <w:pPr>
        <w:pStyle w:val="Heading2"/>
      </w:pPr>
      <w:r>
        <w:t>Decisions</w:t>
      </w:r>
    </w:p>
    <w:p>
      <w:pPr>
        <w:pStyle w:val="ListBullet"/>
      </w:pPr>
      <w:r>
        <w:t>Requests decided: national totals by year.</w:t>
      </w:r>
    </w:p>
    <w:p>
      <w:pPr>
        <w:pStyle w:val="ListBullet"/>
      </w:pPr>
      <w:r>
        <w:t>Key agency contributions: the 20 agencies with the most decisions.</w:t>
      </w:r>
    </w:p>
    <w:p>
      <w:pPr>
        <w:pStyle w:val="ListBullet"/>
      </w:pPr>
      <w:r>
        <w:t>Decision outcomes: granted in full, granted in part, refused and withdrawn, by year.</w:t>
      </w:r>
    </w:p>
    <w:p>
      <w:pPr>
        <w:pStyle w:val="ListBullet"/>
      </w:pPr>
      <w:r>
        <w:t>Change in decision outcomes: the national grant share by year, plus the agencies whose refusal rate moved most between the two latest complete years.</w:t>
      </w:r>
    </w:p>
    <w:p>
      <w:pPr>
        <w:pStyle w:val="Heading2"/>
      </w:pPr>
      <w:r>
        <w:t>Timeliness</w:t>
      </w:r>
    </w:p>
    <w:p>
      <w:pPr>
        <w:pStyle w:val="ListBullet"/>
      </w:pPr>
      <w:r>
        <w:t>Timeliness: the share of decisions made within the statutory period, by year.</w:t>
      </w:r>
    </w:p>
    <w:p>
      <w:pPr>
        <w:pStyle w:val="ListBullet"/>
      </w:pPr>
      <w:r>
        <w:t>Change in timeliness: the national share by year, plus the agencies whose within-statutory rate moved most between the two latest complete years.</w:t>
      </w:r>
    </w:p>
    <w:p>
      <w:pPr>
        <w:pStyle w:val="Heading2"/>
      </w:pPr>
      <w:r>
        <w:t>Reference</w:t>
      </w:r>
    </w:p>
    <w:p>
      <w:pPr>
        <w:pStyle w:val="ListBullet"/>
      </w:pPr>
      <w:r>
        <w:t>Data notes and disclaimer: the publisher's notes, reproduced word for word, plus this site's own reconciliation notes.</w:t>
      </w:r>
    </w:p>
    <w:p>
      <w:pPr>
        <w:pStyle w:val="ListBullet"/>
      </w:pPr>
      <w:r>
        <w:t>How to use: the basis labels and the filter behaviour explained.</w:t>
      </w:r>
    </w:p>
    <w:p>
      <w:pPr>
        <w:pStyle w:val="ListBullet"/>
      </w:pPr>
      <w:r>
        <w:t>API access: a read-only JSON API behind the charts (dataset info, figures, facts and measures).</w:t>
      </w:r>
    </w:p>
    <w:p>
      <w:pPr>
        <w:pStyle w:val="ListBullet"/>
      </w:pPr>
      <w:r>
        <w:t>Data provenance: where the data comes from, file by file, with the checks the site runs.</w:t>
      </w:r>
    </w:p>
    <w:p>
      <w:pPr>
        <w:pStyle w:val="Heading1"/>
      </w:pPr>
      <w:r>
        <w:t>Reading a figure</w:t>
      </w:r>
    </w:p>
    <w:p>
      <w:r>
        <w:t>Each figure card carries a basis label, which names the window the figure covers:</w:t>
      </w:r>
    </w:p>
    <w:p>
      <w:pPr>
        <w:pStyle w:val="ListBullet"/>
      </w:pPr>
      <w:r>
        <w:t>single quarter: one published quarter (Q1 2025-26)</w:t>
      </w:r>
    </w:p>
    <w:p>
      <w:pPr>
        <w:pStyle w:val="ListBullet"/>
      </w:pPr>
      <w:r>
        <w:t>cumulative: a quarter window added up (for example Q1 to Q3)</w:t>
      </w:r>
    </w:p>
    <w:p>
      <w:pPr>
        <w:pStyle w:val="ListBullet"/>
      </w:pPr>
      <w:r>
        <w:t>financial year: a complete July to June year</w:t>
      </w:r>
    </w:p>
    <w:p>
      <w:pPr>
        <w:pStyle w:val="ListBullet"/>
      </w:pPr>
      <w:r>
        <w:t>part financial year: a year the source has not published in full</w:t>
      </w:r>
    </w:p>
    <w:p>
      <w:r>
        <w:t>A part-year figure is a part-year total. It is not comparable with a full-year figure, and the site says so beside each one.</w:t>
      </w:r>
    </w:p>
    <w:p>
      <w:r>
        <w:t>Each figure card also links to its provenance: which files fed it, with the hashes, and the decisions made when the data was prepared.</w:t>
      </w:r>
    </w:p>
    <w:p>
      <w:pPr>
        <w:pStyle w:val="Heading1"/>
      </w:pPr>
      <w:r>
        <w:t>Missing data</w:t>
      </w:r>
    </w:p>
    <w:p>
      <w:r>
        <w:t>Where the source files do not publish a measure, the page says "No published data for this measure". It does not draw a zero. A missing year reads as a dash, never as a zero.</w:t>
      </w:r>
    </w:p>
    <w:p>
      <w:pPr>
        <w:pStyle w:val="Heading1"/>
      </w:pPr>
      <w:r>
        <w:t>Filters</w:t>
      </w:r>
    </w:p>
    <w:p>
      <w:r>
        <w:t>The chart pages carry four filters: agency, portfolio, type (personal or other) and financial year. A selection re-draws the chart in the browser from the published facts. Where a selection has no published figure, the page says so instead of inventing one. The headline tiles are national totals and never change with a filter.</w:t>
      </w:r>
    </w:p>
    <w:p>
      <w:pPr>
        <w:pStyle w:val="Heading1"/>
      </w:pPr>
      <w:r>
        <w:t>Where the data comes from</w:t>
      </w:r>
    </w:p>
    <w:p>
      <w:r>
        <w:t>The source is the OAIC's FOI statistics dataset on data.gov.au. The site reads seven agency workbooks: one complete year for each of 2019-20 to 2024-25, and the 2025-26 Q1 to Q3 file. The Data provenance page lists each file with its hash and the curation decisions.</w:t>
      </w:r>
    </w:p>
    <w:p>
      <w:pPr>
        <w:pStyle w:val="Heading1"/>
      </w:pPr>
      <w:r>
        <w:t>Getting help</w:t>
      </w:r>
    </w:p>
    <w:p>
      <w:r>
        <w:t>The Data notes page carries the publisher's notes and this site's reconciliation notes. For anything else, write to contact@bluebirdadvisory.com.au.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