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Helix AI Engineer, Robot Learning at Figure AI; specializing in visuomotor policy learning and real-world deployment of embodied AI and robotics foundation models (VLAs, world action models), reinforcement learning policies, and sim-to-real transfer for manipulation applications. 5+ years building novel robotic systems in real-world environments; focused on bridging the last mile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Postdoctoral Fellow (affiliated with Texas Robotics)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Jun 2025–Present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real-world manipulation, including VLA models, world action models, and embodied AI policies: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Deploying and evaluating DreamZero, pi0.5, SmolVLA, and ACT on pick-and-place (&gt;90% success rate) and household cleaning tasks across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CEO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 2022–Jun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 stack: multi-agent RL for fleet coordination and motion planning; end-to-end pipeline from real-world data collection through model training and deployment; LLMs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Co-Founder &amp; CTO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Nov 2021–Sep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Graduate Research Assistant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2016–Dec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Exchange Research Scholar, Barton Research Group, University of Michigan, Ann Arbor (2014–2015)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Robotics: Bimanual Manipulation, Grasping, Kinematics (forward, inverse), Whole-Body Control, Perception (SLAM, VIO, OpenCV), Tactile Sensing, Motion Planning (trajectory generation, trajectory optimization)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&amp; Foundation Models: Deep Learning, DreamZero, pi0.5, SmolVLA, ACT, Diffusion Policies, Behavior Cloning / Imitation Learning (BC, DAgger, teacher-student learning), Sim-to-Real Transfer, Embodied AI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Peer Reviewer: ICRA, IROS, IEEE RA-L (2021–present)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Awards: Air Force SBIR Phase I/II/III &amp; TACFI (2021–2024);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