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Helix AI Engineer, Robot Learning at Figure AI; specializing in visuomotor policy learning and real-world deployment of embodied AI and robotics foundation models (VLAs, world action models), reinforcement learning policies, and sim-to-real transfer for manipulation applications. 5+ years building novel robotic systems in real-world environments;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Postdoctoral Fellow (affiliated with Texas Robotics)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Jun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models, world action models, and embodied AI policies: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𝜋0.5,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CEO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 2022–Jun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CTO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2021–Sep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Graduate Research Assistant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2016–Dec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world’s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(2014–2015)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SELECTED PUBLICATIONS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“Agile Combat Employment System (ACES) Model Modifications.”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Zizhao Wang, Xuesu Xiao, Alexander J. Nettekoven, Kadhiravan Umasankar, Anika Singh, Sriram Bommakanti, Ufuk Topcu, and Peter Stone. “From agile ground to aerial navigation: Learning from learned hallucination.”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Alexander Nettekoven and Ufuk Topcu. “A 3D Printing Hexacopter: Design and Documentation.”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Robotics: Bimanual Manipulation, Grasping, Kinematics (forward, inverse), Whole-Body Control, Perception (SLAM, VIO, OpenCV), Tactile Sensing, Motion Planning (trajectory generation, trajectory optimization)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&amp; Foundation Models: Deep Learning, DreamZero, π0.5, SmolVLA, ACT, Diffusion Policies, Behavior Cloning / Imitation Learning (BC, DAgger, teacher-student learning), Sim-to-Real Transfer, Embodied AI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(2021–present)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Awards: Air Force SBIR Phase I/II/III &amp; TACFI (2021–2024);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