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 w:rsidDel="00000000" w:rsidR="00000000" w:rsidRPr="00000000">
        <w:rPr>
          <w:sz w:val="22"/>
          <w:szCs w:val="22"/>
          <w:rtl w:val="0"/>
        </w:rPr>
        <w:t>Robotics researcher and engineer applying for Helix AI Engineer, Robot Learning at Figure AI; specializing in visuomotor policy learning and real-world deployment of embodied AI and robotics foundation models (VLAs, world action models), reinforcement learning policies, and sim-to-real transfer for manipulation applications. 5+ years building novel robotic systems in real-world environments; focused on bridging the last mile of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CENTER FOR AUTONOMY, UT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Postdoctoral Fellow (affiliated with Texas Robotics)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Jun 2025–Present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Developing, fine-tuning, and deploying robot foundation models for real-world manipulation, including VLA models, world action models, and embodied AI policies: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Deploying and evaluating DreamZero, pi0.5, SmolVLA, and ACT on pick-and-place (&gt;90% success rate) and household cleaning tasks across simulation and real-world humanoid settings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MULTI AI, INC.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 /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Co-Founder &amp; CEO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Sep 2022–Jun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Built and scaled a multi-agent reinforcement learning platform and full autonomy stack for fleet coordination problems (100+ vehicles) in the US Air Force and Pentagon: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Outperformed baseline decision-making by 38% on resource delivery metrics in contested logistics scenarios with improved solution robustness, reducing compute time from 24+ hours of manual planning to under 5 minutes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Tech stack: multi-agent RL for fleet coordination and motion planning; end-to-end pipeline from real-world data collection through model training and deployment; LLMs for human-machine interfacing; imitation learning for warm-starting policies with expert demonstrations</w:t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DRONECONIA LLC (LATER MULTI AI)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Co-Founder &amp; CTO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Nov 2021–Sep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motion and mission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UT AUSTIN AUTONOMOUS SYSTEMS GROUP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Graduate Research Assistant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Aug 2016–Dec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novel robotic systems and algorithms via deep learning, formal methods, and controls in collaboration with Caltech, UC Berkeley, Northeastern, and RPI: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Designed and deployed novel hardware testbeds, including the world's first aerial 3D printing hexacopter with dexterous end-effector control, built with custom MPC and PID/LQR feedback control for in-flight deposition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Achieved 5.43 mm RMSE positioning accuracy under sensor noise and contact dynamics, competitive with ground-based robotic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6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THE UNIVERSITY OF TEXAS AT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RWTH AACHEN UNIVERSITY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Exchange Research Scholar, Barton Research Group, University of Michigan, Ann Arbor (2014–2015)</w:t>
      </w:r>
    </w:p>
    <w:p w:rsidR="00000000" w:rsidDel="00000000" w:rsidP="00000000" w:rsidRDefault="00000000" w:rsidRPr="00000000" w14:paraId="0000003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SELECTED PUBLICATIONS</w:t>
      </w:r>
    </w:p>
    <w:p w:rsidR="00000000" w:rsidDel="00000000" w:rsidP="00000000" w:rsidRDefault="00000000" w:rsidRPr="00000000" w14:paraId="0000003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>Alexander Nettekoven, Matthew Carlin &amp; Ufuk Topcu. "Agile Combat Employment System (ACES) Model Modifications." AFWERX SBIR Phase III Technical Report, 2024. (Multi-agent deep reinforcement learning for autonomous fleet coordination.)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>Zizhao Wang, Xuesu Xiao, Alexander J. Nettekoven, Kadhiravan Umasankar, Anika Singh, Sriram Bommakanti, Ufuk Topcu, and Peter Stone. "From agile ground to aerial navigation: Learning from learned hallucination." IROS 2021.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>Alexander Nettekoven and Ufuk Topcu. "A 3D Printing Hexacopter: Design and Documentation." ICUAS 2021.</w:t>
      </w:r>
    </w:p>
    <w:p w:rsidR="00000000" w:rsidDel="00000000" w:rsidP="00000000" w:rsidRDefault="00000000" w:rsidRPr="00000000" w14:paraId="00000036">
      <w:pPr>
        <w:tabs>
          <w:tab w:val="left" w:leader="none" w:pos="1134"/>
          <w:tab w:val="right" w:leader="none" w:pos="10503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Robotics: Bimanual Manipulation, Grasping, Kinematics (forward, inverse), Whole-Body Control, Perception (SLAM, VIO, OpenCV), Tactile Sensing, Motion Planning (trajectory generation, trajectory optimization)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Control: Reinforcement Learning (PPO, QMIX), State Estimation (Kalman Filters, EKF, EKF2), Feedback Control (PID, Optimal Control, Nonlinear Control), Model Predictive Control (MPC)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VLA &amp; Foundation Models: Deep Learning, DreamZero, pi0.5, SmolVLA, ACT, Diffusion Policies, Behavior Cloning / Imitation Learning (BC, DAgger, teacher-student learning), Sim-to-Real Transfer, Embodied AI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Large Language Models: Llama 3/4, Qwen (local deployment); OpenAI GPT-4o/5, Cohere Command A, Claude (cloud/API)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Programming &amp; Tools: Python, C++, PyTorch, ROS2, Isaac Sim/Isaac Lab (domain randomization, sim-to-real), Embedded Systems, Docker, Linux, Edge Deployment, Systems Design, CAD (SolidWorks, OnShape), Git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Team: Product and project management; technical leadership; team building and hiring; technical communication and presentations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German (native), English (native)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Peer Reviewer: ICRA, IROS, IEEE RA-L (2021–present)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Awards: Air Force SBIR Phase I/II/III &amp; TACFI (2021–2024); GAIN ME Award (2021); UROP Award, UM &amp; RWTH Aachen (2015)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