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 for manipulation, sim-to-real transfer, and full-stack robot deployment. 5+ years building novel robotic systems and multimodal foundation models for real-world environments, backed by seven figures in defense contracts and multiple top-tier publications.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