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Alexander Nettekoven, Ph.D.</w:t>
      </w:r>
    </w:p>
    <w:p w:rsidR="00000000" w:rsidDel="00000000" w:rsidP="00000000" w:rsidRDefault="00000000" w:rsidRPr="00000000" w14:paraId="00000002">
      <w:pPr>
        <w:jc w:val="center"/>
        <w:rPr>
          <w:sz w:val="22"/>
          <w:szCs w:val="22"/>
        </w:rPr>
      </w:pPr>
      <w:hyperlink r:id="rId6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alexander-nettekoven.com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nettekoven@utexas.edu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8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linkedin.com/in/alexander-nettekoven</w:t>
        </w:r>
      </w:hyperlink>
      <w:r w:rsidDel="00000000" w:rsidR="00000000" w:rsidRPr="00000000">
        <w:rPr>
          <w:sz w:val="22"/>
          <w:szCs w:val="22"/>
          <w:rtl w:val="0"/>
        </w:rPr>
        <w:t xml:space="preserve">  •  (214) 733-7603</w:t>
      </w:r>
    </w:p>
    <w:p w:rsidR="00000000" w:rsidDel="00000000" w:rsidP="00000000" w:rsidRDefault="00000000" w:rsidRPr="00000000" w14:paraId="00000003">
      <w:pPr>
        <w:rPr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mallCaps w:val="1"/>
        </w:rPr>
      </w:pPr>
      <w:r w:rsidDel="00000000" w:rsidR="00000000" w:rsidRPr="00000000">
        <w:rPr>
          <w:sz w:val="22"/>
          <w:szCs w:val="22"/>
          <w:rtl w:val="0"/>
        </w:rPr>
        <w:t>Robotics engineering lead applying for [job title] at [company]. I specialize in robot learning, including VLAs and reinforcement learning, sim-to-real transfer, and full-stack robot deployment for manipulation. 5+ years building novel robotic systems and multimodal foundation models for real-world environments.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Postdoctoral Fellow</w:t>
        <w:tab/>
        <w:t xml:space="preserve">Jun 2025-Present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1134"/>
          <w:tab w:val="right" w:leader="none" w:pos="10503"/>
        </w:tabs>
        <w:rPr>
          <w:i w:val="1"/>
          <w:iCs w:val="1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Center For Autonomy, The University of Texas at Austin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Developing, fine-tuning, and deploying robot foundation models for manipulation tasks, including VLA models and World Action Models, under real-time inference and deployment constraints: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Building a low-cost bimanual manipulator testbed (&lt;$1,200) inspired by Mobile ALOHA with simple human-to-machine interfacing for long-horizon household tasks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Fine-tuning and evaluating DreamZero, pi0.5, SmolVLA, and ACT on pick-and-place (&gt;90% success rate) and household cleaning tasks across simulation and real-world manipulation settings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Trained Spot (Boston Dynamics) to perform bipedal hopping locomotion using RL; achieved zero-shot sim-to-real transfer by modeling and rewarding locomotion dynamics in simulation</w:t>
      </w:r>
    </w:p>
    <w:p w:rsidR="00000000" w:rsidDel="00000000" w:rsidP="00000000" w:rsidRDefault="00000000" w:rsidRPr="00000000" w14:paraId="00000012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CEO</w:t>
        <w:tab/>
        <w:t xml:space="preserve">Sep 2022-Jun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134"/>
          <w:tab w:val="right" w:leader="none" w:pos="10503"/>
        </w:tabs>
        <w:rPr>
          <w:b w:val="0"/>
          <w:bCs w:val="0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Multi AI, Austin, TX &amp; San Francisco,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Built and scaled a multi-agent reinforcement learning platform and full autonomy stack for asset coordination problems (100+ vehicles) in the US Air Force and Pentagon:</w:t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Outperformed baseline decision-making by 38% on resource delivery metrics in contested logistics scenarios, reducing compute time from 24+ hours of manual planning to under 5 minutes</w:t>
      </w:r>
    </w:p>
    <w:p w:rsidR="00000000" w:rsidDel="00000000" w:rsidP="00000000" w:rsidRDefault="00000000" w:rsidRPr="00000000" w14:paraId="00000018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Received multiple Air Force SBIR Phase I/II/III contracts and a TACFI selection, totaling seven figures in contract funding</w:t>
      </w:r>
    </w:p>
    <w:p w:rsidR="00000000" w:rsidDel="00000000" w:rsidP="00000000" w:rsidRDefault="00000000" w:rsidRPr="00000000" w14:paraId="00000019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Tech stack: Multi-agent RL (QMIX); Imitation Learning for warm-starting policies with expert demonstrations; LLMs for human-machine interfacing</w:t>
      </w:r>
    </w:p>
    <w:p w:rsidR="00000000" w:rsidDel="00000000" w:rsidP="00000000" w:rsidRDefault="00000000" w:rsidRPr="00000000" w14:paraId="0000001A">
      <w:pPr>
        <w:pageBreakBefore w:val="0"/>
        <w:rPr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CTO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Nov 2021-Sep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22"/>
          <w:szCs w:val="22"/>
        </w:rPr>
      </w:pPr>
      <w:r w:rsidDel="00000000" w:rsidR="00000000" w:rsidRPr="00000000">
        <w:rPr>
          <w:i w:val="1"/>
          <w:iCs w:val="1"/>
          <w:rtl w:val="0"/>
        </w:rPr>
        <w:t xml:space="preserve">Droneconia LLC (Later Multi AI)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Advanced a PhD-stage prototype to secure the first SBIR Phase I and II contracts with Air Force Agility Prime: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mallCaps w:val="1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a rapid multi-agent mission and motion planner with decentralized Monte Carlo Tree Search (MCTS) for autonomous unmanned aerial and ground vehicle planning (20+ vehicles)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Graduate Research Assistant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Aug 2016-Dec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tabs>
          <w:tab w:val="left" w:leader="none" w:pos="1134"/>
          <w:tab w:val="right" w:leader="none" w:pos="10503"/>
        </w:tabs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Autonomous Systems Group, The University of Texas at Austin</w:t>
      </w:r>
    </w:p>
    <w:p w:rsidR="00000000" w:rsidDel="00000000" w:rsidP="00000000" w:rsidRDefault="00000000" w:rsidRPr="00000000" w14:paraId="00000023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novel robotic systems and algorithms via deep learning, sim-to-real transfer, and end-to-end system design in collaboration with Caltech, UC Berkeley, Northeastern, and RPI: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Designed and deployed novel robotic testbeds, including the world's first aerial 3D printing hexacopter with tactile end-effector control; performed system identification and actuator calibration, and used real-time feedback control (MPC, LQR) for in-flight deposition with disturbance rejection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Achieved 5.43 mm RMSE positioning accuracy under complex contact dynamics, competitive with ground-based robotic systems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Supervised 20+ undergraduate researchers; published at IROS, ICUAS, IEEE CDC, ICMLA, and SFF</w:t>
      </w:r>
    </w:p>
    <w:p w:rsidR="00000000" w:rsidDel="00000000" w:rsidP="00000000" w:rsidRDefault="00000000" w:rsidRPr="00000000" w14:paraId="00000028">
      <w:pPr>
        <w:pageBreakBefore w:val="0"/>
        <w:pBdr>
          <w:bottom w:color="000000" w:space="1" w:sz="6" w:val="single"/>
        </w:pBd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134"/>
          <w:tab w:val="right" w:leader="none" w:pos="10503"/>
        </w:tabs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 University of Texas at Austin</w:t>
        <w:tab/>
        <w:t xml:space="preserve">Austin, Tx</w:t>
      </w:r>
    </w:p>
    <w:p w:rsidR="00000000" w:rsidDel="00000000" w:rsidP="00000000" w:rsidRDefault="00000000" w:rsidRPr="00000000" w14:paraId="0000002C">
      <w:pPr>
        <w:pageBreakBefore w:val="0"/>
        <w:tabs>
          <w:tab w:val="left" w:leader="none" w:pos="1134"/>
          <w:tab w:val="right" w:leader="none" w:pos="10503"/>
        </w:tabs>
        <w:rPr>
          <w:sz w:val="10"/>
          <w:szCs w:val="10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Doctor of Philosophy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Master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1134"/>
          <w:tab w:val="right" w:leader="none" w:pos="10503"/>
        </w:tabs>
        <w:rPr>
          <w:b w:val="1"/>
          <w:bCs w:val="1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RWTH Aachen University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Aachen, Germany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Bachelor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ageBreakBefore w:val="0"/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Exchange Research Scholar, Barton Research Group, University of Michigan, Ann Arbor (2014-2015)</w:t>
      </w:r>
    </w:p>
    <w:p w:rsidR="00000000" w:rsidDel="00000000" w:rsidP="00000000" w:rsidRDefault="00000000" w:rsidRPr="00000000" w14:paraId="00000032">
      <w:pPr>
        <w:pageBreakBefore w:val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 Learning &amp; Foundation Models:</w:t>
      </w:r>
      <w:r w:rsidDel="00000000" w:rsidR="00000000" w:rsidRPr="00000000">
        <w:rPr>
          <w:sz w:val="22"/>
          <w:szCs w:val="22"/>
          <w:rtl w:val="0"/>
        </w:rPr>
        <w:t xml:space="preserve"> DreamZero, pi0.5, SmolVLA, ACT, Diffusion Policies, Reinforcement Learning (PPO, QMIX); Transformers (DiT, ViT); Behavior Cloning / Imitation Learning (BC, DAgger, Teacher-Student Learning); Machine Learning; VLMs (SigLIP, Qwen-VL, PaliGemma)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Control</w:t>
      </w:r>
      <w:r w:rsidDel="00000000" w:rsidR="00000000" w:rsidRPr="00000000">
        <w:rPr>
          <w:sz w:val="22"/>
          <w:szCs w:val="22"/>
          <w:rtl w:val="0"/>
        </w:rPr>
        <w:t xml:space="preserve">: Real-Time Feedback Control (Optimal Control, Nonlinear Control, PID), Model Predictive Control (MPC), Whole-Body Control, State Estimation (Kalman Filters, EKF, EKF2)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Robotics</w:t>
      </w:r>
      <w:r w:rsidDel="00000000" w:rsidR="00000000" w:rsidRPr="00000000">
        <w:rPr>
          <w:sz w:val="22"/>
          <w:szCs w:val="22"/>
          <w:rtl w:val="0"/>
        </w:rPr>
        <w:t xml:space="preserve">: Kinematics (forward, inverse), Bimanual Manipulation, Computer Vision (SLAM, VIO, OpenCV), Tactile Sensing, Motion Planning (trajectory generation, trajectory optimization), Sim-to-Real Transfer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Large Language Models</w:t>
      </w:r>
      <w:r w:rsidDel="00000000" w:rsidR="00000000" w:rsidRPr="00000000">
        <w:rPr>
          <w:sz w:val="22"/>
          <w:szCs w:val="22"/>
          <w:rtl w:val="0"/>
        </w:rPr>
        <w:t xml:space="preserve">: Llama 3/4, Qwen (local deployment); OpenAI GPT-4o/5, Cohere Command A, Claude (cloud/API)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Programming &amp; Tools</w:t>
      </w:r>
      <w:r w:rsidDel="00000000" w:rsidR="00000000" w:rsidRPr="00000000">
        <w:rPr>
          <w:sz w:val="22"/>
          <w:szCs w:val="22"/>
          <w:rtl w:val="0"/>
        </w:rPr>
        <w:t xml:space="preserve">: Python, C++, PyTorch, Distributed Training, ROS2, Isaac Sim/Isaac Lab and MuJoCo (domain randomization, sim-to-real), Firmware &amp; Embedded Systems (Arduino, Raspberry Pi, UDP/TCP, UART), Linux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Team</w:t>
      </w:r>
      <w:r w:rsidDel="00000000" w:rsidR="00000000" w:rsidRPr="00000000">
        <w:rPr>
          <w:sz w:val="22"/>
          <w:szCs w:val="22"/>
          <w:rtl w:val="0"/>
        </w:rPr>
        <w:t xml:space="preserve">: Product and Project Management; Technical Leadership; Team Building and Hiring; Technical Communication and Presentations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Languages</w:t>
      </w:r>
      <w:r w:rsidDel="00000000" w:rsidR="00000000" w:rsidRPr="00000000">
        <w:rPr>
          <w:sz w:val="22"/>
          <w:szCs w:val="22"/>
          <w:rtl w:val="0"/>
        </w:rPr>
        <w:t xml:space="preserve">: English (native), German (native)</w:t>
      </w:r>
    </w:p>
    <w:p w:rsidR="00000000" w:rsidDel="00000000" w:rsidP="00000000" w:rsidRDefault="00000000" w:rsidRPr="00000000" w14:paraId="0000003C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AWARDS &amp; RECOGNITIONS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2021-2025</w:t>
      </w:r>
      <w:r>
        <w:rPr>
          <w:sz w:val="22"/>
          <w:szCs w:val="22"/>
        </w:rPr>
        <w:t xml:space="preserve"> - Formal endorsement from Air Force AFWERX Agility Prime and Autonomy Prime, AFRL Autonomy Capability Team 3 (ACT3), AFRL/RQ Aerospace Systems Directorate, AFRL/RISB, 492d &amp; 494th Fighter Generation Squadrons (48th Operations Group), AFLCMC/WLQ Technology Development Branch, and USTRANSCOM TCJ5/4, and defense primes such as Textron Systems.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2025</w:t>
      </w:r>
      <w:r>
        <w:rPr>
          <w:sz w:val="22"/>
          <w:szCs w:val="22"/>
        </w:rPr>
        <w:t xml:space="preserve"> - Recognized Core Technology Contribution to Defense Partner's Trailblazer Award.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2024</w:t>
      </w:r>
      <w:r>
        <w:rPr>
          <w:b w:val="0"/>
          <w:i w:val="0"/>
          <w:sz w:val="22"/>
        </w:rPr>
        <w:t xml:space="preserve"> - Pentagon Wargaming Development Partnership. Sole-source SBIR Phase III by OUSD A&amp;S and Air Force Autonomy Prime.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2024</w:t>
      </w:r>
      <w:r>
        <w:rPr>
          <w:b w:val="0"/>
          <w:sz w:val="22"/>
        </w:rPr>
        <w:t xml:space="preserve"> - Texas AI Caucus Expert to advise Texas State Representative on AI policy.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2021-2024</w:t>
      </w:r>
      <w:r>
        <w:rPr>
          <w:b w:val="0"/>
          <w:sz w:val="22"/>
        </w:rPr>
        <w:t xml:space="preserve"> - Air Force SBIR Phase I/II/III &amp; TACFI Awards.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2023</w:t>
      </w:r>
      <w:r>
        <w:rPr>
          <w:b w:val="0"/>
          <w:i w:val="0"/>
          <w:sz w:val="22"/>
        </w:rPr>
        <w:t xml:space="preserve"> - Capital Factory Accelerator. Selected to Texas's prestigious startup accelerator.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Texas Venture Labs Investment Competition Commercialization Winner.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Launch Texas Awardee for UT Austin's space entrepreneurship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Bridge-to-Phase II Award Winner. UT Discovery grant for national security AI.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MassChallenge Finalist (out of 400 startups) and Air Force Technology Acceleration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2021</w:t>
      </w:r>
      <w:r>
        <w:rPr>
          <w:b w:val="0"/>
          <w:i w:val="0"/>
          <w:sz w:val="22"/>
        </w:rPr>
        <w:t xml:space="preserve"> - GAIN Mechanical Engineering Award. Outstanding research contributions, UT Austin.</w:t>
      </w:r>
    </w:p>
    <w:p w:rsidR="00000000" w:rsidDel="00000000" w:rsidP="00000000" w:rsidRDefault="00000000" w:rsidRPr="00000000" w14:paraId="00000040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SELECTED PUBLICATIONS &amp; NEWS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i w:val="0"/>
          <w:sz w:val="22"/>
        </w:rPr>
        <w:t>Alexander Nettekoven</w:t>
      </w:r>
      <w:r>
        <w:rPr>
          <w:b w:val="0"/>
          <w:i w:val="0"/>
          <w:sz w:val="22"/>
        </w:rPr>
        <w:t>, Matthew Carlin &amp; Ufuk Topcu. “Agile Combat Employment System (ACES) Model Modifications.” Technical Report, US Air Force AFWERX Autonomy Prime SBIR Phase III (2024).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AI Business</w:t>
      </w:r>
      <w:r>
        <w:rPr>
          <w:b w:val="0"/>
          <w:sz w:val="22"/>
        </w:rPr>
        <w:t xml:space="preserve"> about Multi AI. “Hybrid AI Reduces Generative AI Hallucinations” by Deborah Yao (09/21/2023).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Defense Visual Information Distribution Service</w:t>
      </w:r>
      <w:r>
        <w:rPr>
          <w:b w:val="0"/>
          <w:sz w:val="22"/>
        </w:rPr>
        <w:t xml:space="preserve"> about Multi AI. “Tech Connect partner uses AI to assist in in-theater mission planning” by Jeremy R. Dunn (08/23/2023).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Texas Engineer</w:t>
      </w:r>
      <w:r>
        <w:rPr>
          <w:b w:val="0"/>
          <w:sz w:val="22"/>
        </w:rPr>
        <w:t xml:space="preserve"> about Multi AI. “Ready for Launch” by Nat Levy (2022–2023).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  <w:szCs w:val="22"/>
        </w:rPr>
        <w:t>Alexander Nettekoven</w:t>
      </w:r>
      <w:r>
        <w:rPr>
          <w:sz w:val="22"/>
          <w:szCs w:val="22"/>
        </w:rPr>
        <w:t xml:space="preserve"> &amp; Ufuk Topcu. “A 3D Printing Hexacopter: Design and Documentation.” ICUAS 2021.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sz w:val="22"/>
          <w:szCs w:val="22"/>
        </w:rPr>
        <w:t xml:space="preserve">Zizhao Wang, Xuesu Xiao, </w:t>
      </w:r>
      <w:r>
        <w:rPr>
          <w:b/>
          <w:sz w:val="22"/>
          <w:szCs w:val="22"/>
        </w:rPr>
        <w:t>Alexander J. Nettekoven</w:t>
      </w:r>
      <w:r>
        <w:rPr>
          <w:sz w:val="22"/>
          <w:szCs w:val="22"/>
        </w:rPr>
        <w:t xml:space="preserve"> et al. “From Agile Ground to Aerial Navigation: Learning from Learned Hallucination.” IROS 2021.</w:t>
      </w:r>
    </w:p>
    <w:p w:rsidR="00000000" w:rsidDel="00000000" w:rsidP="00000000" w:rsidRDefault="00000000" w:rsidRPr="00000000" w14:paraId="00000045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ageBreakBefore w:val="0"/>
        <w:pBdr>
          <w:bottom w:color="000000" w:space="1" w:sz="6" w:val="single"/>
        </w:pBdr>
        <w:rPr>
          <w:sz w:val="22"/>
          <w:szCs w:val="22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ADDITIONAL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Peer Reviewer: ICRA, IROS, IEEE RA-L (2021-present)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Work Eligibility: Eligible to work in the U.S. with no restrictions</w:t>
      </w:r>
    </w:p>
    <w:sectPr>
      <w:pgSz w:h="15840" w:w="12240" w:orient="portrait"/>
      <w:pgMar w:bottom="720" w:top="720" w:left="864" w:right="864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utopcu@utexas.edu" TargetMode="External"/><Relationship Id="rId5" Type="http://schemas.openxmlformats.org/officeDocument/2006/relationships/styles" Target="styles.xml"/><Relationship Id="rId6" Type="http://schemas.openxmlformats.org/officeDocument/2006/relationships/hyperlink" Target="http://alexkoven.com" TargetMode="External"/><Relationship Id="rId7" Type="http://schemas.openxmlformats.org/officeDocument/2006/relationships/hyperlink" Target="mailto:nettekoven@utexas.edu" TargetMode="External"/><Relationship Id="rId8" Type="http://schemas.openxmlformats.org/officeDocument/2006/relationships/hyperlink" Target="http://linkedin.com/in/alexander-nettekoven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