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>Alexander Nettekoven, Ph.D.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alexander-nettekoven.com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nettekoven@utexas.edu</w:t>
        </w:r>
      </w:hyperlink>
      <w:r w:rsidDel="00000000" w:rsidR="00000000" w:rsidRPr="00000000">
        <w:rPr>
          <w:sz w:val="22"/>
          <w:szCs w:val="22"/>
          <w:rtl w:val="0"/>
        </w:rPr>
        <w:t xml:space="preserve">  • 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linkedin.com/in/alexander-nettekoven</w:t>
        </w:r>
      </w:hyperlink>
      <w:r w:rsidDel="00000000" w:rsidR="00000000" w:rsidRPr="00000000">
        <w:rPr>
          <w:sz w:val="22"/>
          <w:szCs w:val="22"/>
          <w:rtl w:val="0"/>
        </w:rPr>
        <w:t xml:space="preserve">  •  (214) 733-7603</w:t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6" w:val="single"/>
        </w:pBdr>
        <w:rPr/>
      </w:pPr>
      <w:r w:rsidDel="00000000" w:rsidR="00000000" w:rsidRPr="00000000">
        <w:rPr>
          <w:b w:val="1"/>
          <w:bCs w:val="1"/>
          <w:smallCaps w:val="1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mallCaps w:val="1"/>
        </w:rPr>
      </w:pPr>
      <w:r w:rsidDel="00000000" w:rsidR="00000000" w:rsidRPr="00000000">
        <w:rPr>
          <w:sz w:val="22"/>
          <w:szCs w:val="22"/>
          <w:rtl w:val="0"/>
        </w:rPr>
        <w:t>Robotics researcher and engineer applying for [job title] at [company]. I specialize in reinforcement learning, sim-to-real transfer, and whole-body control for humanoid / semi-humanoid locomotion and manipulation. 5+ years building novel robotic systems and robot learning algorithms for real-world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CENTER FOR AUTONOMY, UT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Postdoctoral Fellow (affiliated with Texas Robotics)</w:t>
        <w:tab/>
        <w:t>Jun 2025-Present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Developing, fine-tuning, and deploying robot foundation models for manipulation tasks, including VLA models and world action models, under real-time deployment constraints: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Building a low-cost bimanual manipulator testbed (&lt;$1,200) inspired by Mobile ALOHA with simple human-to-machine interfacing for long-horizon household tasks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Finetuning and evaluating DreamZero, pi0.5, SmolVLA, and ACT on pick-and-place (&gt;90% success rate) and household cleaning tasks across simulation and real-world manipulation settings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Trained Spot (Boston Dynamics) to perform bipedal hopping locomotion using RL; achieved zero-shot sim-to-real transfer by accurately modeling and rewarding locomotion dynamics in simulation</w:t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MULTI AI, INC.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 / San Francisco,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CEO</w:t>
        <w:tab/>
        <w:t>Sep 2022-Jun 2025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Built and scaled a multi-agent reinforcement learning platform and full autonomy stack for asset coordination problems (100+ vehicles) in the US Air Force and Pentagon: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Outperformed baseline decision-making by 38% on resource delivery metrics in contested logistics scenarios, reducing compute time from 24+ hours of manual planning to under 5 minutes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Received multiple Air Force SBIR Phase I/II/III contracts and a TACFI selection, totaling seven figures in contract funding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Tech stack: Multi-agent RL (QMIX); Curriculum Learning and RL training pipeline development; imitation learning for warm-starting policies with expert demonstrations; LLMs for human-machine interfacing</w:t>
      </w:r>
    </w:p>
    <w:p w:rsidR="00000000" w:rsidDel="00000000" w:rsidP="00000000" w:rsidRDefault="00000000" w:rsidRPr="00000000" w14:paraId="00000019">
      <w:pPr>
        <w:pageBreakBefore w:val="0"/>
        <w:rPr>
          <w:sz w:val="16"/>
          <w:szCs w:val="1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DRONECONIA LLC (LATER MULTI AI)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</w:p>
    <w:p w:rsidR="00000000" w:rsidDel="00000000" w:rsidP="00000000" w:rsidRDefault="00000000" w:rsidRPr="00000000" w14:paraId="0000001B">
      <w:pPr>
        <w:tabs>
          <w:tab w:val="left" w:leader="none" w:pos="1134"/>
          <w:tab w:val="right" w:leader="none" w:pos="10503"/>
        </w:tabs>
        <w:rPr>
          <w:smallCap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Co-Founder &amp; CTO</w:t>
        <w:tab/>
        <w:t>Nov 2021-Sep 2022</w:t>
      </w: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Advanced a PhD-stage prototype to secure the first SBIR Phase I and II contracts with Air Force Agility Prime: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mallCap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Developed a rapid multi-agent motion and mission planner with decentralized Monte Carlo Tree Search (MCTS) for autonomous unmanned aerial and ground vehicle planning (20+ vehicles)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UT AUSTIN AUTONOMOUS SYSTEMS GROUP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1134"/>
          <w:tab w:val="right" w:leader="none" w:pos="10503"/>
        </w:tabs>
        <w:rPr>
          <w:b w:val="0"/>
          <w:bCs w:val="0"/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Graduate Research Assistant</w:t>
        <w:tab/>
        <w:t>Aug 2016-Dec 2022</w:t>
      </w:r>
      <w:r w:rsidDel="00000000" w:rsidR="00000000" w:rsidRPr="00000000">
        <w:rPr>
          <w:b w:val="1"/>
          <w:bCs w:val="1"/>
          <w:smallCaps w:val="1"/>
          <w:sz w:val="22"/>
          <w:szCs w:val="22"/>
          <w:vertAlign w:val="baseline"/>
          <w:rtl w:val="0"/>
        </w:rPr>
      </w:r>
      <w:r w:rsidDel="00000000" w:rsidR="00000000" w:rsidRPr="00000000">
        <w:rPr>
          <w:b w:val="1"/>
          <w:bCs w:val="1"/>
          <w:sz w:val="22"/>
          <w:szCs w:val="22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b w:val="0"/>
          <w:bCs w:val="0"/>
          <w:sz w:val="4"/>
          <w:szCs w:val="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Developed novel robotic systems and algorithms via deep learning, sim-to-real transfer, and end-to-end system design in collaboration with Caltech, UC Berkeley, Northeastern, and RPI: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Designed and deployed novel robotic testbeds, including the world's first aerial 3D printing hexacopter with tactile end-effector control; performed system identification and actuator calibration, and used real-time feedback control (MPC, LQR) for in-flight deposition with hardware-in-the-loop validation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Achieved 5.43 mm RMSE positioning accuracy under complex contact dynamics, competitive with ground-based robotic systems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Supervised 20+ undergraduate researchers; published at IROS, ICUAS, IEEE CDC, ICMLA, and SFF</w:t>
      </w:r>
    </w:p>
    <w:p w:rsidR="00000000" w:rsidDel="00000000" w:rsidP="00000000" w:rsidRDefault="00000000" w:rsidRPr="00000000" w14:paraId="00000026">
      <w:pPr>
        <w:pageBreakBefore w:val="0"/>
        <w:pBdr>
          <w:bottom w:color="000000" w:space="1" w:sz="6" w:val="single"/>
        </w:pBdr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THE UNIVERSITY OF TEXAS AT AUSTIN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Austin,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1134"/>
          <w:tab w:val="right" w:leader="none" w:pos="10503"/>
        </w:tabs>
        <w:rPr>
          <w:sz w:val="10"/>
          <w:szCs w:val="10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Doctor of Philosophy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2022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34"/>
          <w:tab w:val="right" w:leader="none" w:pos="10503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Master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2018</w:t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1"/>
          <w:bCs w:val="1"/>
          <w:smallCaps w:val="1"/>
          <w:sz w:val="22"/>
          <w:szCs w:val="22"/>
          <w:rtl w:val="0"/>
        </w:rPr>
        <w:t xml:space="preserve">RWTH AACHEN UNIVERSITY</w:t>
        <w:tab/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Aachen, Germany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1134"/>
          <w:tab w:val="right" w:leader="none" w:pos="10503"/>
        </w:tabs>
        <w:rPr>
          <w:sz w:val="22"/>
          <w:szCs w:val="22"/>
          <w:vertAlign w:val="baseline"/>
        </w:rPr>
      </w:pPr>
      <w:r w:rsidDel="00000000" w:rsidR="00000000" w:rsidRPr="00000000">
        <w:rPr>
          <w:b w:val="0"/>
          <w:bCs w:val="1"/>
          <w:i w:val="1"/>
          <w:iCs w:val="1"/>
          <w:sz w:val="22"/>
          <w:szCs w:val="22"/>
          <w:rtl w:val="0"/>
        </w:rPr>
        <w:t xml:space="preserve">Bachelor of Science in Mechanical Engineering</w:t>
      </w:r>
      <w:r w:rsidDel="00000000" w:rsidR="00000000" w:rsidRPr="00000000">
        <w:rPr>
          <w:b w:val="0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b w:val="0"/>
          <w:bCs w:val="1"/>
          <w:sz w:val="22"/>
          <w:szCs w:val="22"/>
          <w:rtl w:val="0"/>
        </w:rPr>
        <w:t xml:space="preserve">2016</w:t>
      </w:r>
      <w:r w:rsidDel="00000000" w:rsidR="00000000" w:rsidRPr="00000000">
        <w:rPr>
          <w:b w:val="0"/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Exchange Research Scholar, Barton Research Group, University of Michigan, Ann Arbor (2014-2015)</w:t>
      </w:r>
    </w:p>
    <w:p w:rsidR="00000000" w:rsidDel="00000000" w:rsidP="00000000" w:rsidRDefault="00000000" w:rsidRPr="00000000" w14:paraId="00000030">
      <w:pPr>
        <w:pageBreakBefore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bottom w:color="000000" w:space="1" w:sz="6" w:val="single"/>
        </w:pBdr>
        <w:rPr>
          <w:b w:val="0"/>
          <w:bCs w:val="0"/>
          <w:smallCaps w:val="0"/>
          <w:vertAlign w:val="baseline"/>
        </w:rPr>
      </w:pPr>
      <w:r w:rsidDel="00000000" w:rsidR="00000000" w:rsidRPr="00000000">
        <w:rPr>
          <w:b w:val="1"/>
          <w:bCs w:val="1"/>
          <w:smallCaps w:val="1"/>
          <w:vertAlign w:val="baseline"/>
          <w:rtl w:val="0"/>
        </w:rPr>
        <w:t xml:space="preserve">ADDITIONAL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 Learning &amp; Foundation Models: DreamZero, pi0.5, SmolVLA, ACT, Diffusion Policies, Reinforcement Learning (PPO, QMIX); Curriculum Learning; Transformers (DiT, ViT); Behavior Cloning / Imitation Learning (BC, DAgger, teacher-student learning); Machine Learning; VLMs (SigLIP, Qwen-VL, PaliGemma)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Control: Real-Time Feedback Control (Optimal Control, Nonlinear Control, PID), Model Predictive Control (MPC), Whole-Body Control, State Estimation (Kalman Filters, EKF, EKF2)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Robotics: Kinematics (forward, inverse), Computer Vision (SLAM, VIO, OpenCV), Tactile Sensing, Motion Planning (trajectory generation, trajectory optimization), Sim-to-Real Transfer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Large Language Models: Llama 3/4, Qwen (local deployment); OpenAI GPT-4o/5, Cohere Command A, Claude (cloud/API)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Programming &amp; Tools: Python, C++, PyTorch, ROS2, Isaac Sim/Isaac Lab and MuJoCo (domain randomization, sim-to-real), Firmware &amp; Embedded Systems (Arduino, Raspberry Pi, UDP/TCP, UART), Linux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ind w:left="108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Team: Product and project management; technical leadership; team building and hiring; technical communication and presentations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Languages: German (native), English (native)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Peer Reviewer: ICRA, IROS, IEEE RA-L (2021-present)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Awards: Air Force SBIR Phase I/II/III &amp; TACFI (2021-2024); GAIN ME Award (2021); UROP Award, UM &amp; RWTH Aachen (2015)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 Eligibility: Eligible to work in the U.S. with no restrictions</w:t>
      </w:r>
    </w:p>
    <w:sectPr>
      <w:pgSz w:h="15840" w:w="12240" w:orient="portrait"/>
      <w:pgMar w:bottom="720" w:top="720" w:left="864" w:right="864" w:header="432" w:footer="43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2014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alexkoven.com" TargetMode="External"/><Relationship Id="rId7" Type="http://schemas.openxmlformats.org/officeDocument/2006/relationships/hyperlink" Target="mailto:nettekoven@utexas.edu" TargetMode="External"/><Relationship Id="rId8" Type="http://schemas.openxmlformats.org/officeDocument/2006/relationships/hyperlink" Target="http://linkedin.com/in/alexander-nettekoven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