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engineering lead specializing in robot learning, including VLAs and reinforcement learning, sim-to-real transfer, and full-stack robot deployment for manipulation. 5+ years building novel robotic systems and multimodal foundation models for real-world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Postdoctoral Fellow</w:t>
        <w:tab/>
        <w:t xml:space="preserve">Jun 2025-Present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503"/>
        </w:tabs>
        <w:rPr>
          <w:i w:val="1"/>
          <w:iCs w:val="1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Center For Autonomy, The University of Texas at Austin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Developing, fine-tuning, and deploying robot foundation models for manipulation tasks, including VLA models and World Action Models, under real-time inference and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modeling and rewarding locomotion dynamics in simulation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Co-Founder &amp; CEO</w:t>
        <w:tab/>
        <w:t xml:space="preserve">Sep 2022-Jun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0503"/>
        </w:tabs>
        <w:rPr>
          <w:b w:val="0"/>
          <w:bCs w:val="0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Multi AI, Austin, TX &amp;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A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Co-Founder &amp; CTO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Nov 2021-Sep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134"/>
          <w:tab w:val="right" w:leader="none" w:pos="10503"/>
        </w:tabs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>Droneconia LLC (Later Multi AI),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mission and motion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Graduate Research Assistant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Aug 2016-Dec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1134"/>
          <w:tab w:val="right" w:leader="none" w:pos="10503"/>
        </w:tabs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Autonomous Systems Group, The University of Texas at Austin</w:t>
      </w:r>
    </w:p>
    <w:p w:rsidR="00000000" w:rsidDel="00000000" w:rsidP="00000000" w:rsidRDefault="00000000" w:rsidRPr="00000000" w14:paraId="00000023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8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University of Texas at Austin</w:t>
        <w:tab/>
        <w:t xml:space="preserve">Austin, Tx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0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0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b w:val="1"/>
          <w:bCs w:val="1"/>
          <w:smallCap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503"/>
        </w:tabs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RWTH Aachen University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0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Exchange Research Scholar, Barton Research Group, University of Michigan, Ann Arbor (2014-2015)</w:t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Robot Learning &amp; Foundation Models:</w:t>
      </w:r>
      <w:r w:rsidDel="00000000" w:rsidR="00000000" w:rsidRPr="00000000">
        <w:rPr>
          <w:sz w:val="22"/>
          <w:szCs w:val="22"/>
          <w:rtl w:val="0"/>
        </w:rPr>
        <w:t xml:space="preserve">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</w:t>
      </w:r>
      <w:r w:rsidDel="00000000" w:rsidR="00000000" w:rsidRPr="00000000">
        <w:rPr>
          <w:sz w:val="22"/>
          <w:szCs w:val="22"/>
          <w:rtl w:val="0"/>
        </w:rPr>
        <w:t xml:space="preserve">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Robotics</w:t>
      </w:r>
      <w:r w:rsidDel="00000000" w:rsidR="00000000" w:rsidRPr="00000000">
        <w:rPr>
          <w:sz w:val="22"/>
          <w:szCs w:val="22"/>
          <w:rtl w:val="0"/>
        </w:rPr>
        <w:t xml:space="preserve">: Kinematics (forward, inverse), Bimanual Manipulation,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Large Language Models</w:t>
      </w:r>
      <w:r w:rsidDel="00000000" w:rsidR="00000000" w:rsidRPr="00000000">
        <w:rPr>
          <w:sz w:val="22"/>
          <w:szCs w:val="22"/>
          <w:rtl w:val="0"/>
        </w:rPr>
        <w:t xml:space="preserve">: Llama 3/4, Qwen (local deployment); OpenAI GPT-4o/5, Cohere Command A, Claude (cloud/API)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Programming &amp; Tools</w:t>
      </w:r>
      <w:r w:rsidDel="00000000" w:rsidR="00000000" w:rsidRPr="00000000">
        <w:rPr>
          <w:sz w:val="22"/>
          <w:szCs w:val="22"/>
          <w:rtl w:val="0"/>
        </w:rPr>
        <w:t xml:space="preserve">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Team</w:t>
      </w:r>
      <w:r w:rsidDel="00000000" w:rsidR="00000000" w:rsidRPr="00000000">
        <w:rPr>
          <w:sz w:val="22"/>
          <w:szCs w:val="22"/>
          <w:rtl w:val="0"/>
        </w:rPr>
        <w:t xml:space="preserve">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Languages</w:t>
      </w:r>
      <w:r w:rsidDel="00000000" w:rsidR="00000000" w:rsidRPr="00000000">
        <w:rPr>
          <w:sz w:val="22"/>
          <w:szCs w:val="22"/>
          <w:rtl w:val="0"/>
        </w:rPr>
        <w:t xml:space="preserve">: English (native), German (native)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AWARDS &amp; RECOGNITIONS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2021-2025</w:t>
      </w:r>
      <w:r>
        <w:rPr>
          <w:sz w:val="22"/>
          <w:szCs w:val="22"/>
        </w:rPr>
        <w:t xml:space="preserve"> - Formal endorsement from Air Force AFWERX Agility Prime and Autonomy Prime, AFRL Autonomy Capability Team 3 (ACT3), AFRL/RQ Aerospace Systems Directorate, AFRL/RISB, 492d &amp; 494th Fighter Generation Squadrons (48th Operations Group), AFLCMC/WLQ Technology Development Branch, and USTRANSCOM TCJ5/4, and defense primes such as Textron Systems.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2025</w:t>
      </w:r>
      <w:r>
        <w:rPr>
          <w:sz w:val="22"/>
          <w:szCs w:val="22"/>
        </w:rPr>
        <w:t xml:space="preserve"> - Recognized Core Technology Contribution to Defense Partner's Trailblazer Award.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i w:val="0"/>
          <w:sz w:val="22"/>
        </w:rPr>
        <w:t>2024</w:t>
      </w:r>
      <w:r>
        <w:rPr>
          <w:b w:val="0"/>
          <w:i w:val="0"/>
          <w:sz w:val="22"/>
        </w:rPr>
        <w:t xml:space="preserve"> - Pentagon Wargaming Development Partnership. Sole-source SBIR Phase III by OUSD A&amp;S and Air Force Autonomy Prime.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2024</w:t>
      </w:r>
      <w:r>
        <w:rPr>
          <w:b w:val="0"/>
          <w:sz w:val="22"/>
        </w:rPr>
        <w:t xml:space="preserve"> - Texas AI Caucus Expert to advise Texas State Representative on AI policy.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2021-2024</w:t>
      </w:r>
      <w:r>
        <w:rPr>
          <w:b w:val="0"/>
          <w:sz w:val="22"/>
        </w:rPr>
        <w:t xml:space="preserve"> - Air Force SBIR Phase I/II/III &amp; TACFI Awards.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i w:val="0"/>
          <w:sz w:val="22"/>
        </w:rPr>
        <w:t>2023</w:t>
      </w:r>
      <w:r>
        <w:rPr>
          <w:b w:val="0"/>
          <w:i w:val="0"/>
          <w:sz w:val="22"/>
        </w:rPr>
        <w:t xml:space="preserve"> - Capital Factory Accelerator. Selected to Texas's prestigious startup accelerator.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2022</w:t>
      </w:r>
      <w:r>
        <w:rPr>
          <w:b w:val="0"/>
          <w:sz w:val="22"/>
        </w:rPr>
        <w:t xml:space="preserve"> - Texas Venture Labs Investment Competition Commercialization Winner.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2022</w:t>
      </w:r>
      <w:r>
        <w:rPr>
          <w:b w:val="0"/>
          <w:sz w:val="22"/>
        </w:rPr>
        <w:t xml:space="preserve"> - Launch Texas Awardee for UT Austin's space entrepreneurship program.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2022</w:t>
      </w:r>
      <w:r>
        <w:rPr>
          <w:sz w:val="22"/>
          <w:szCs w:val="22"/>
        </w:rPr>
        <w:t xml:space="preserve"> - Bridge-to-Phase II Award Winner. UT Discovery grant for national security AI.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2022</w:t>
      </w:r>
      <w:r>
        <w:rPr>
          <w:sz w:val="22"/>
          <w:szCs w:val="22"/>
        </w:rPr>
        <w:t xml:space="preserve"> - MassChallenge Finalist (out of 400 startups) and Air Force Technology Acceleration Program.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i w:val="0"/>
          <w:sz w:val="22"/>
        </w:rPr>
        <w:t>2021</w:t>
      </w:r>
      <w:r>
        <w:rPr>
          <w:b w:val="0"/>
          <w:i w:val="0"/>
          <w:sz w:val="22"/>
        </w:rPr>
        <w:t xml:space="preserve"> - GAIN Mechanical Engineering Award. Outstanding research contributions, UT Austin.</w:t>
      </w:r>
    </w:p>
    <w:p w:rsidR="00000000" w:rsidDel="00000000" w:rsidP="00000000" w:rsidRDefault="00000000" w:rsidRPr="00000000" w14:paraId="0000004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SELECTED PUBLICATIONS &amp;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i w:val="0"/>
          <w:sz w:val="22"/>
        </w:rPr>
        <w:t>Alexander Nettekoven</w:t>
      </w:r>
      <w:r>
        <w:rPr>
          <w:b w:val="0"/>
          <w:i w:val="0"/>
          <w:sz w:val="22"/>
        </w:rPr>
        <w:t>, Matthew Carlin &amp; Ufuk Topcu. “Agile Combat Employment System (ACES) Model Modifications.” Technical Report, US Air Force AFWERX Autonomy Prime SBIR Phase III (2024).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</w:rPr>
        <w:t>AI Business</w:t>
      </w:r>
      <w:r>
        <w:rPr>
          <w:b w:val="0"/>
          <w:sz w:val="22"/>
        </w:rPr>
        <w:t xml:space="preserve"> about Multi AI. “Hybrid AI Reduces Generative AI Hallucinations” by Deborah Yao (09/21/2023).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</w:rPr>
        <w:t>Defense Visual Information Distribution Service</w:t>
      </w:r>
      <w:r>
        <w:rPr>
          <w:b w:val="0"/>
          <w:sz w:val="22"/>
        </w:rPr>
        <w:t xml:space="preserve"> about Multi AI. “Tech Connect partner uses AI to assist in in-theater mission planning” by Jeremy R. Dunn (08/23/2023).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</w:rPr>
        <w:t>Texas Engineer</w:t>
      </w:r>
      <w:r>
        <w:rPr>
          <w:b w:val="0"/>
          <w:sz w:val="22"/>
        </w:rPr>
        <w:t xml:space="preserve"> about Multi AI. “Ready for Launch” by Nat Levy (2022–2023).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  <w:szCs w:val="22"/>
        </w:rPr>
        <w:t>Alexander Nettekoven</w:t>
      </w:r>
      <w:r>
        <w:rPr>
          <w:sz w:val="22"/>
          <w:szCs w:val="22"/>
        </w:rPr>
        <w:t xml:space="preserve"> &amp; Ufuk Topcu. “A 3D Printing Hexacopter: Design and Documentation.” ICUAS 2021.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sz w:val="22"/>
          <w:szCs w:val="22"/>
        </w:rPr>
        <w:t xml:space="preserve">Zizhao Wang, Xuesu Xiao, </w:t>
      </w:r>
      <w:r>
        <w:rPr>
          <w:b/>
          <w:sz w:val="22"/>
          <w:szCs w:val="22"/>
        </w:rPr>
        <w:t>Alexander J. Nettekoven</w:t>
      </w:r>
      <w:r>
        <w:rPr>
          <w:sz w:val="22"/>
          <w:szCs w:val="22"/>
        </w:rPr>
        <w:t xml:space="preserve"> et al. “From Agile Ground to Aerial Navigation: Learning from Learned Hallucination.” IROS 2021.</w:t>
      </w:r>
    </w:p>
    <w:p w:rsidR="00000000" w:rsidDel="00000000" w:rsidP="00000000" w:rsidRDefault="00000000" w:rsidRPr="00000000" w14:paraId="0000004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bottom w:color="000000" w:space="1" w:sz="6" w:val="single"/>
        </w:pBdr>
        <w:rPr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Peer Reviewer: ICRA, IROS, IEEE RA-L (2021-present)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utopcu@utexas.edu" TargetMode="Externa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