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Textron Systems, 492d &amp; 494th Fighter Generation Squadrons (48th Operations Group), AFLCMC/WLQ Technology Development Branch, and USTRANSCOM TCJ5/4.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Agility Prime and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