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defense primes, such as Textron Systems, 492d &amp; 494th Fighter Generation Squadrons (48th Operations Group), AFLCMC/WLQ Technology Development Branch, and USTRANSCOM TCJ5/4.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Agility Prime and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