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2024</w:t>
      </w:r>
      <w:r>
        <w:rPr>
          <w:sz w:val="22"/>
          <w:szCs w:val="22"/>
        </w:rPr>
        <w:t xml:space="preserve"> - Invited Expert to Texas AI Caucus. Advised Texas State Representative on AI policy and commercial regulations.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2021-2024</w:t>
      </w:r>
      <w:r>
        <w:rPr>
          <w:b w:val="0"/>
          <w:i w:val="0"/>
          <w:sz w:val="22"/>
        </w:rPr>
        <w:t xml:space="preserve"> - Air Force SBIR Phase I/II/III &amp; TACFI. Multiple contracts totaling seven figures from Air Force Agility Prime and AFWERX Ventures.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2022</w:t>
      </w:r>
      <w:r>
        <w:rPr>
          <w:b w:val="0"/>
          <w:i w:val="0"/>
          <w:sz w:val="22"/>
        </w:rPr>
        <w:t xml:space="preserve"> - Launch Texas Awardee. Newly-founded space entrepreneurship program at UT Austin.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Deborah Yao</w:t>
      </w:r>
      <w:r>
        <w:rPr>
          <w:sz w:val="22"/>
          <w:szCs w:val="22"/>
        </w:rPr>
        <w:t>. “Hybrid AI Reduces Generative AI Hallucinations.” AI Business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Jeremy R. Dunn</w:t>
      </w:r>
      <w:r>
        <w:rPr>
          <w:sz w:val="22"/>
          <w:szCs w:val="22"/>
        </w:rPr>
        <w:t>. “Tech Connect partner uses AI to assist in in-theater mission planning.” Defense Visual Information Distribution Service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>Nat Levy</w:t>
      </w:r>
      <w:r>
        <w:rPr>
          <w:sz w:val="22"/>
          <w:szCs w:val="22"/>
        </w:rPr>
        <w:t>. “Ready for Launch.” Texas Engineer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