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 xml:space="preserve">Robotics engineering tech lead applying for [job title] at [company]. I specialize in robot learning, including VLAs and reinforcement learning for manipulation, sim-to-real transfer, and full-stack robot deployment.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—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2021–2024</w:t>
      </w:r>
      <w:r>
        <w:rPr>
          <w:sz w:val="22"/>
          <w:szCs w:val="22"/>
        </w:rPr>
        <w:t xml:space="preserve"> — Air Force SBIR Phase I/II/III &amp; TACFI. Multiple contracts totaling seven figures from Air Force Agility Prime and AFWERX Ventures.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2023</w:t>
      </w:r>
      <w:r>
        <w:rPr>
          <w:sz w:val="22"/>
          <w:szCs w:val="22"/>
        </w:rPr>
        <w:t xml:space="preserve"> — Capital Factory Accelerator. Selected to Texas’s largest and most active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— Texas Venture Labs Investment Competition (TVLIC). Five-figure prize; highest commercialization success among Texas student startups.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— Launch Texas Awardee. UT Austin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</w:t>
      </w:r>
      <w:r>
        <w:rPr>
          <w:sz w:val="22"/>
          <w:szCs w:val="22"/>
        </w:rPr>
        <w:t xml:space="preserve"> — GAIN Mechanical Engineering Award. Outstanding research contributions, UT Austin.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2015</w:t>
      </w:r>
      <w:r>
        <w:rPr>
          <w:sz w:val="22"/>
          <w:szCs w:val="22"/>
        </w:rPr>
        <w:t xml:space="preserve"> — UROP Award. Undergraduate Research Opportunity Award, University of Michigan &amp; RWTH Aachen.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SBIR Phase III (2024).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Zizhao Wang, Xuesu Xiao, 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ind w:left="720" w:hanging="360"/>
        <w:rPr>
          <w:sz w:val="22"/>
          <w:szCs w:val="22"/>
          <w:u w:val="none"/>
        </w:rPr>
      </w:pPr>
      <w:r>
        <w:rPr>
          <w:b/>
          <w:i w:val="0"/>
          <w:sz w:val="22"/>
        </w:rPr>
        <w:t>Deborah Yao</w:t>
      </w:r>
      <w:r>
        <w:rPr>
          <w:b w:val="0"/>
          <w:i w:val="0"/>
          <w:sz w:val="22"/>
        </w:rPr>
        <w:t>. “Hybrid AI Reduces Generative AI Hallucinations.” AI Business (09/21/2023).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  <w:u w:val="none"/>
        </w:rPr>
      </w:pPr>
      <w:r>
        <w:rPr>
          <w:b/>
          <w:sz w:val="22"/>
          <w:szCs w:val="22"/>
        </w:rPr>
        <w:t>Jeremy R. Dunn</w:t>
      </w:r>
      <w:r>
        <w:rPr>
          <w:sz w:val="22"/>
          <w:szCs w:val="22"/>
        </w:rPr>
        <w:t>. “Tech Connect partner uses AI to assist in in-theater mission planning.” Defense Visual Information Distribution Service (08/23/2023).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  <w:u w:val="none"/>
        </w:rPr>
      </w:pPr>
      <w:r>
        <w:rPr>
          <w:b/>
          <w:sz w:val="22"/>
          <w:szCs w:val="22"/>
        </w:rPr>
        <w:t>Nat Levy</w:t>
      </w:r>
      <w:r>
        <w:rPr>
          <w:sz w:val="22"/>
          <w:szCs w:val="22"/>
        </w:rPr>
        <w:t>. “Ready for Launch.” Texas Engineer (2022–2023).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References: </w:t>
      </w:r>
      <w:hyperlink r:id="rId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utopcu@utexas.edu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. Additional references upon request.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