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2021-2024</w:t>
      </w:r>
      <w:r>
        <w:rPr>
          <w:b w:val="0"/>
          <w:i w:val="0"/>
          <w:sz w:val="22"/>
        </w:rPr>
        <w:t xml:space="preserve"> - Air Force SBIR Phase I/II/III &amp; TACFI. Multiple contracts totaling seven figures from Air Force Agility Prime and AFWERX Ventures.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most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2022</w:t>
      </w:r>
      <w:r>
        <w:rPr>
          <w:b w:val="0"/>
          <w:i w:val="0"/>
          <w:sz w:val="22"/>
        </w:rPr>
        <w:t xml:space="preserve"> - Texas Venture Labs Investment Competition. Highest commercialization success among Texas student startups.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2022</w:t>
      </w:r>
      <w:r>
        <w:rPr>
          <w:b w:val="0"/>
          <w:i w:val="0"/>
          <w:sz w:val="22"/>
        </w:rPr>
        <w:t xml:space="preserve"> - Launch Texas Awardee. UT Austin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>Deborah Yao</w:t>
      </w:r>
      <w:r>
        <w:rPr>
          <w:sz w:val="22"/>
          <w:szCs w:val="22"/>
        </w:rPr>
        <w:t>. “Hybrid AI Reduces Generative AI Hallucinations.” AI Business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>Jeremy R. Dunn</w:t>
      </w:r>
      <w:r>
        <w:rPr>
          <w:sz w:val="22"/>
          <w:szCs w:val="22"/>
        </w:rPr>
        <w:t>. “Tech Connect partner uses AI to assist in in-theater mission planning.” Defense Visual Information Distribution Service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>Nat Levy</w:t>
      </w:r>
      <w:r>
        <w:rPr>
          <w:sz w:val="22"/>
          <w:szCs w:val="22"/>
        </w:rPr>
        <w:t>. “Ready for Launch.” Texas Engineer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