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pageBreakBefore w:val="0"/>
        <w:rPr>
          <w:b w:val="0"/>
          <w:bCs w:val="0"/>
          <w:smallCaps w:val="0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 xml:space="preserve">Robotics engineering tech lead applying for [job title] at [company]. I specialize in robot learning, including VLAs and reinforcement learning for manipulation, sim-to-real transfer, and full-stack robot deployment. 5+ years building novel robotic systems and multimodal foundation models for real-world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 xml:space="preserve">Droneconia LLC (Later Multi AI)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2024</w:t>
      </w:r>
      <w:r>
        <w:rPr>
          <w:b w:val="0"/>
          <w:sz w:val="22"/>
        </w:rPr>
        <w:t xml:space="preserve"> - Invited Expert to Texas AI Caucus to advise Texas State Representative on AI policy.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2021-2024</w:t>
      </w:r>
      <w:r>
        <w:rPr>
          <w:b w:val="0"/>
          <w:sz w:val="22"/>
        </w:rPr>
        <w:t xml:space="preserve"> - Air Force SBIR Phase I/II/III &amp; TACFI Award.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prestigious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Texas Venture Labs Investment Competition Commercialization Winner.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Launch Texas Awardee for UT Austin's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Bridge-to-Phase II Award Winner. UT Discovery grant for national security AI.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Selection for Elite Startup Accelerators. MassChallenge finalist (out of 400 startups) and Air Force Technology Acceleration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SBIR Phase III (2024).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AI Business</w:t>
      </w:r>
      <w:r>
        <w:rPr>
          <w:b w:val="0"/>
          <w:sz w:val="22"/>
        </w:rPr>
        <w:t xml:space="preserve"> about Multi AI. “Hybrid AI Reduces Generative AI Hallucinations” by Deborah Yao (09/21/2023).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Defense Visual Information Distribution Service</w:t>
      </w:r>
      <w:r>
        <w:rPr>
          <w:b w:val="0"/>
          <w:sz w:val="22"/>
        </w:rPr>
        <w:t xml:space="preserve"> about Multi AI. “Tech Connect partner uses AI to assist in in-theater mission planning” by Jeremy R. Dunn (08/23/2023).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Texas Engineer</w:t>
      </w:r>
      <w:r>
        <w:rPr>
          <w:b w:val="0"/>
          <w:sz w:val="22"/>
        </w:rPr>
        <w:t xml:space="preserve"> about Multi AI. “Ready for Launch” by Nat Levy (2022–2023).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ind w:left="720" w:hanging="360"/>
        <w:rPr>
          <w:sz w:val="22"/>
          <w:szCs w:val="22"/>
          <w:u w:val="none"/>
        </w:rPr>
      </w:pPr>
      <w:r w:rsidDel="00000000" w:rsidR="00000000" w:rsidRPr="00000000">
        <w:rPr>
          <w:sz w:val="22"/>
          <w:szCs w:val="22"/>
          <w:rtl w:val="0"/>
        </w:rPr>
        <w:t xml:space="preserve">References: </w:t>
      </w:r>
      <w:hyperlink r:id="rId9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utopcu@utexas.edu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. Additional references upon request.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