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01 — foundation</w:t>
      </w:r>
    </w:p>
    <w:p>
      <w:pPr>
        <w:spacing w:after="120"/>
      </w:pPr>
      <w:r>
        <w:rPr>
          <w:b/>
          <w:bCs/>
        </w:rPr>
        <w:t xml:space="preserve">Branch: week-01-foundation</w:t>
      </w:r>
    </w:p>
    <w:p>
      <w:pPr>
        <w:spacing w:after="120"/>
      </w:pPr>
      <w:r>
        <w:rPr>
          <w:b/>
          <w:bCs/>
        </w:rPr>
        <w:t xml:space="preserve">Tags: shipped, slipped, rescoped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SvelteKit 2 + Svelte 5 scaffold with TypeScript, Vitest, Playwright, ESLint, Prettier.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Tailwind v4 with custom palette and typography.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Supabase project: schema migration for categories, products, product_images, reviews, carts, cart_items, orders, order_items, wishlists; pgvector embedding column on products; RLS policies on day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catalog.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Public catalog pages: /, /categories, /category/[slug], /product/[slug].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SSR-first rendering with category and price filters.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 + password auth via Supabase, with cookie-based SSR sessions through @supabase/ssr.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GitHub Actions CI: typecheck, lint, unit, Playwright BDD layer-1 placeholder.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Playwright-BDD skeleton with first three scenarios.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Vercel project linked, preview deploys per PR, production on main.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Nothing material. The week stayed on plan.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Started with a richer schema than the brief minimum — orders, order_items, and wishlists were created in Week 1 even though they were not exercised yet. Reason: rebuilding the schema mid-project would have been more expensive than over-provisioning it up front.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Supabase + SvelteKit + Tailwind combination paid off. Almost all of the week's time went into actual catalog work rather than infrastructure plumbing. The single decision I would not change is enabling RLS from the first migration — later weeks would have been painful otherwise.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2026-05-13T13:35:05.122Z</dcterms:created>
  <dcterms:modified xsi:type="dcterms:W3CDTF">2026-05-13T13:35:05.122Z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