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Week 02 — commerce core</w:t>
      </w:r>
    </w:p>
    <w:p>
      <w:pPr>
        <w:spacing w:after="120"/>
      </w:pPr>
      <w:r>
        <w:rPr>
          <w:b/>
          <w:bCs/>
        </w:rPr>
        <w:t xml:space="preserve">Branch: week-02-commerce-core</w:t>
      </w:r>
    </w:p>
    <w:p>
      <w:pPr>
        <w:pStyle w:val="Heading2"/>
        <w:spacing w:after="120" w:before="240"/>
      </w:pPr>
      <w:r>
        <w:rPr>
          <w:b/>
          <w:bCs/>
        </w:rPr>
        <w:t xml:space="preserve">Shipped</w:t>
      </w:r>
    </w:p>
    <w:p>
      <w:pPr>
        <w:pStyle w:val="ListParagraph"/>
        <w:numPr>
          <w:ilvl w:val="0"/>
          <w:numId w:val="2"/>
        </w:numPr>
        <w:spacing w:after="80"/>
      </w:pPr>
      <w:r>
        <w:t xml:space="preserve">Auth-gated cart with add, update quantity, and remove actions.</w:t>
      </w:r>
    </w:p>
    <w:p>
      <w:pPr>
        <w:pStyle w:val="ListParagraph"/>
        <w:numPr>
          <w:ilvl w:val="0"/>
          <w:numId w:val="2"/>
        </w:numPr>
        <w:spacing w:after="80"/>
      </w:pPr>
      <w:r>
        <w:t xml:space="preserve">Wishlist toggle on every product page and a list view on /account.</w:t>
      </w:r>
    </w:p>
    <w:p>
      <w:pPr>
        <w:pStyle w:val="ListParagraph"/>
        <w:numPr>
          <w:ilvl w:val="0"/>
          <w:numId w:val="2"/>
        </w:numPr>
        <w:spacing w:after="80"/>
      </w:pPr>
      <w:r>
        <w:t xml:space="preserve">Stripe Checkout Sessions in test mode. Reconciliation route runs before the success page so the cart clears in time; a /checkout/resume route lets users pick up unfinished orders.</w:t>
      </w:r>
    </w:p>
    <w:p>
      <w:pPr>
        <w:pStyle w:val="ListParagraph"/>
        <w:numPr>
          <w:ilvl w:val="0"/>
          <w:numId w:val="2"/>
        </w:numPr>
        <w:spacing w:after="80"/>
      </w:pPr>
      <w:r>
        <w:t xml:space="preserve">Product pages with image galleries: arrow controls, keyboard navigation, an image counter.</w:t>
      </w:r>
    </w:p>
    <w:p>
      <w:pPr>
        <w:pStyle w:val="ListParagraph"/>
        <w:numPr>
          <w:ilvl w:val="0"/>
          <w:numId w:val="2"/>
        </w:numPr>
        <w:spacing w:after="80"/>
      </w:pPr>
      <w:r>
        <w:t xml:space="preserve">Reviews with aspect ratings (overall, value, build, performance), paginated 5 per page with URL state, and a write form that redirects to ?review=posted on submit.</w:t>
      </w:r>
    </w:p>
    <w:p>
      <w:pPr>
        <w:pStyle w:val="ListParagraph"/>
        <w:numPr>
          <w:ilvl w:val="0"/>
          <w:numId w:val="2"/>
        </w:numPr>
        <w:spacing w:after="80"/>
      </w:pPr>
      <w:r>
        <w:t xml:space="preserve">Semantic search via pgvector: match_products RPC and an embed script. /search falls back to tsvector when no OPENAI_API_KEY is configured.</w:t>
      </w:r>
    </w:p>
    <w:p>
      <w:pPr>
        <w:pStyle w:val="ListParagraph"/>
        <w:numPr>
          <w:ilvl w:val="0"/>
          <w:numId w:val="2"/>
        </w:numPr>
        <w:spacing w:after="80"/>
      </w:pPr>
      <w:r>
        <w:t xml:space="preserve">Order history on /account with status pills and Resume payment buttons for pending orders.</w:t>
      </w:r>
    </w:p>
    <w:p>
      <w:pPr>
        <w:pStyle w:val="ListParagraph"/>
        <w:numPr>
          <w:ilvl w:val="0"/>
          <w:numId w:val="2"/>
        </w:numPr>
        <w:spacing w:after="80"/>
      </w:pPr>
      <w:r>
        <w:t xml:space="preserve">Reset filters control in the catalog sidebar.</w:t>
      </w:r>
    </w:p>
    <w:p>
      <w:pPr>
        <w:pStyle w:val="ListParagraph"/>
        <w:numPr>
          <w:ilvl w:val="0"/>
          <w:numId w:val="2"/>
        </w:numPr>
        <w:spacing w:after="80"/>
      </w:pPr>
      <w:r>
        <w:t xml:space="preserve">L1 BDD scenario count: 16. Target was at least 12.</w:t>
      </w:r>
    </w:p>
    <w:p>
      <w:pPr>
        <w:pStyle w:val="Heading2"/>
        <w:spacing w:after="120" w:before="240"/>
      </w:pPr>
      <w:r>
        <w:rPr>
          <w:b/>
          <w:bCs/>
        </w:rPr>
        <w:t xml:space="preserve">Slipped</w:t>
      </w:r>
    </w:p>
    <w:p>
      <w:pPr>
        <w:spacing w:after="120"/>
      </w:pPr>
      <w:r>
        <w:rPr>
          <w:b w:val="false"/>
          <w:bCs w:val="false"/>
        </w:rPr>
        <w:t xml:space="preserve">Nothing material.</w:t>
      </w:r>
    </w:p>
    <w:p>
      <w:pPr>
        <w:pStyle w:val="Heading2"/>
        <w:spacing w:after="120" w:before="240"/>
      </w:pPr>
      <w:r>
        <w:rPr>
          <w:b/>
          <w:bCs/>
        </w:rPr>
        <w:t xml:space="preserve">Rescoped</w:t>
      </w:r>
    </w:p>
    <w:p>
      <w:pPr>
        <w:spacing w:after="120"/>
      </w:pPr>
      <w:r>
        <w:rPr>
          <w:b w:val="false"/>
          <w:bCs w:val="false"/>
        </w:rPr>
        <w:t xml:space="preserve">Rebranded the project from "TechnoMarket 2.0" to "Joule" mid-week. This was not in the plan but it unblocked the portfolio narrative — the previous name positioned the project as a sequel rather than a standalone shop, which was the wrong story. Touched copy across the home page, header, footer, about, and meta description in a single commit.</w:t>
      </w:r>
    </w:p>
    <w:p>
      <w:pPr>
        <w:pStyle w:val="Heading2"/>
        <w:spacing w:after="120" w:before="240"/>
      </w:pPr>
      <w:r>
        <w:rPr>
          <w:b/>
          <w:bCs/>
        </w:rPr>
        <w:t xml:space="preserve">Reflection</w:t>
      </w:r>
    </w:p>
    <w:p>
      <w:pPr>
        <w:spacing w:after="120"/>
      </w:pPr>
      <w:r>
        <w:rPr>
          <w:b w:val="false"/>
          <w:bCs w:val="false"/>
        </w:rPr>
        <w:t xml:space="preserve">The trickiest part of the week was the post-Stripe flow. Clearing the cart on the success page is too late — the layout server load that renders the cart badge has already run by then. The fix was an intermediate /checkout/reconcile endpoint that marks the order paid, clears the cart, then 303-redirects to the success page. Worth documenting because the symptom (stale cart badge after a clean payment) was non-obvious.</w:t>
      </w:r>
    </w:p>
    <w:p>
      <w:pPr>
        <w:pStyle w:val="Heading2"/>
        <w:spacing w:after="120" w:before="240"/>
      </w:pPr>
      <w:r>
        <w:rPr>
          <w:b/>
          <w:bCs/>
        </w:rPr>
        <w:t xml:space="preserve">Learning outcomes</w:t>
      </w:r>
    </w:p>
    <w:p>
      <w:pPr>
        <w:pStyle w:val="ListParagraph"/>
        <w:numPr>
          <w:ilvl w:val="0"/>
          <w:numId w:val="2"/>
        </w:numPr>
        <w:spacing w:after="80"/>
      </w:pPr>
      <w:r>
        <w:rPr>
          <w:b/>
          <w:bCs/>
        </w:rPr>
        <w:t xml:space="preserve">Engineering Approach</w:t>
      </w:r>
      <w:r>
        <w:t xml:space="preserve"> — Feedback loops via BDD caught the cart-badge-stale-after-checkout bug because the scenario asserted on layout state, not just payment success. System thinking led to /checkout/reconcile as a deliberate hop between Stripe and the success page — recognising that the layout query runs before the success page load and therefore needs the data ready earlier.</w:t>
      </w:r>
    </w:p>
    <w:p>
      <w:pPr>
        <w:pStyle w:val="ListParagraph"/>
        <w:numPr>
          <w:ilvl w:val="0"/>
          <w:numId w:val="2"/>
        </w:numPr>
        <w:spacing w:after="80"/>
      </w:pPr>
      <w:r>
        <w:rPr>
          <w:b/>
          <w:bCs/>
        </w:rPr>
        <w:t xml:space="preserve">Software Quality</w:t>
      </w:r>
      <w:r>
        <w:t xml:space="preserve"> — 16 layer-1 BDD scenarios (target was at least 12). Aspect ratings on reviews push the model beyond "did it persist" into "did the right facet get rated". Semantic search via pgvector is a deliberate trade between functional suitability and performance efficiency (ISO 25010) — slower than tsvector but more useful for natural-language queries.</w:t>
      </w:r>
    </w:p>
    <w:p>
      <w:pPr>
        <w:pStyle w:val="ListParagraph"/>
        <w:numPr>
          <w:ilvl w:val="0"/>
          <w:numId w:val="2"/>
        </w:numPr>
        <w:spacing w:after="80"/>
      </w:pPr>
      <w:r>
        <w:rPr>
          <w:b/>
          <w:bCs/>
        </w:rPr>
        <w:t xml:space="preserve">Software Maintenance</w:t>
      </w:r>
      <w:r>
        <w:t xml:space="preserve"> — Stripe webhook with signature verification and order-status idempotency — production-shaped change management. Schema changes kept as separate migration files under supabase/migrations/ so the database history is auditable.</w:t>
      </w:r>
    </w:p>
    <w:p>
      <w:pPr>
        <w:pStyle w:val="ListParagraph"/>
        <w:numPr>
          <w:ilvl w:val="0"/>
          <w:numId w:val="2"/>
        </w:numPr>
        <w:spacing w:after="80"/>
      </w:pPr>
      <w:r>
        <w:rPr>
          <w:b/>
          <w:bCs/>
        </w:rPr>
        <w:t xml:space="preserve">Professional Standard</w:t>
      </w:r>
      <w:r>
        <w:t xml:space="preserve"> — Mid-week rebrand from TechnoMarket 2.0 to Joule documented transparently in the retro rather than papered over. Scope changes are surfaced so the stakeholder (the assessor) can see the decision being made.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2026-05-28T09:15:01.186Z</dcterms:created>
  <dcterms:modified xsi:type="dcterms:W3CDTF">2026-05-28T09:15:01.186Z</dcterms:modified>
</cp:coreProperties>
</file>

<file path=docProps/custom.xml><?xml version="1.0" encoding="utf-8"?>
<Properties xmlns="http://schemas.openxmlformats.org/officeDocument/2006/custom-properties" xmlns:vt="http://schemas.openxmlformats.org/officeDocument/2006/docPropsVTypes"/>
</file>