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Week 03 — intelligence layer</w:t>
      </w:r>
    </w:p>
    <w:p>
      <w:pPr>
        <w:spacing w:after="120"/>
      </w:pPr>
      <w:r>
        <w:rPr>
          <w:b/>
          <w:bCs/>
        </w:rPr>
        <w:t xml:space="preserve">Branch: week-03-intelligence</w:t>
      </w:r>
    </w:p>
    <w:p>
      <w:pPr>
        <w:pStyle w:val="Heading2"/>
        <w:spacing w:after="120" w:before="240"/>
      </w:pPr>
      <w:r>
        <w:rPr>
          <w:b/>
          <w:bCs/>
        </w:rPr>
        <w:t xml:space="preserve">Shipped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assistant at /assistant. Streams responses via Vercel AI Gateway. Three catalog tools (search_catalog, get_product, list_categories) so every recommendation is grounded in real data. Tool calls render as inline chips; [slug] mentions in responses auto-link to product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synthesiser at /compare?slugs=a,b,c. Renders a deterministic spec table from real catalog data, then streams an AI "which one and why" verdict below. Refuses cross-category comparisons honestly rather than forcing a winner.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Add-to-compare tray. Session-scoped, persists across navigation via sessionStorage. Add-to-compare button on every product page, capped at three.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Review-intelligence panel on product pages with three or more reviews. Collapsed by default; "Read the gist" streams a synthesis with [1, 2]-style citations that scroll to the matching review when clicked.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Transparent personalisation on /account. Embedding-hybrid recommender builds a user vector from bought and saved signals, retrieves candidates via pgvector, re-ranks with brand affinity, price-band match, and a featured boost. Each recommendation carries a visible reason chip naming the anchor.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scope guard on every system prompt: no code generation, no off-topic Q&amp;A, no role-play, no "ignore previous instructions" compliance. Treats human-language text inside tool results as data, not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pass: short-circuit auth lookup when no session cookie is present; skip cart-count for anonymous users; in-memory memo cache with 60-second TTL on hot catalog reads; thread productId through PDP queries to drop three round-trips per render.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 BDD scenarios: assistant slugs resolve in catalog; compare verdicts only cite input products; review-intel citations stay within range. Tagged @ai so they skip on CI when the gateway key is absent.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 A script. 24 prompts run through grounded and ungrounded variants, scored on slug citations and prose product mentions. Latest run: 51 of 51 grounded slug citations are real, zero hallucinations; ungrounded made 254 prose product mentions with under 5% Joule-correct.</w:t>
      </w:r>
    </w:p>
    <w:p>
      <w:pPr>
        <w:pStyle w:val="Heading2"/>
        <w:spacing w:after="120" w:before="240"/>
      </w:pPr>
      <w:r>
        <w:rPr>
          <w:b/>
          <w:bCs/>
        </w:rPr>
        <w:t xml:space="preserve">Slipped</w:t>
      </w:r>
    </w:p>
    <w:p>
      <w:pPr>
        <w:spacing w:after="120"/>
      </w:pPr>
      <w:r>
        <w:rPr>
          <w:b w:val="false"/>
          <w:bCs w:val="false"/>
        </w:rPr>
        <w:t xml:space="preserve">The first cut of the assistant was too eager to refuse. It said "Joule does not have wired headphones" / "no Sony noise-cancelling" / "no smartwatches" when all three existed in the catalog. Fixing it took two iterations on the system prompt: the DO NOT GIVE UP block listing the steps the model must take before claiming absence, the explicit "call list_categories first if unsure of the slug" rule, and an OUTPUT rule mandating prose so the model never finishes a turn with only tool calls. Experiment A's first run masked this because the slug-only metric did not catch grounded misses.</w:t>
      </w:r>
    </w:p>
    <w:p>
      <w:pPr>
        <w:pStyle w:val="Heading2"/>
        <w:spacing w:after="120" w:before="240"/>
      </w:pPr>
      <w:r>
        <w:rPr>
          <w:b/>
          <w:bCs/>
        </w:rPr>
        <w:t xml:space="preserve">Rescoped</w:t>
      </w:r>
    </w:p>
    <w:p>
      <w:pPr>
        <w:spacing w:after="120"/>
      </w:pPr>
      <w:r>
        <w:rPr>
          <w:b w:val="false"/>
          <w:bCs w:val="false"/>
        </w:rPr>
        <w:t xml:space="preserve">The recommender was originally a Week 4 deliverable. It moved into Week 3 because once product embeddings were populated (Week 2's semantic-search work), the embedding-hybrid path was a small lift on top of the rule-based version. Brought forward to keep Week 4 focused on the experiment write-ups and the first production deploy.</w:t>
      </w:r>
    </w:p>
    <w:p>
      <w:pPr>
        <w:pStyle w:val="Heading2"/>
        <w:spacing w:after="120" w:before="240"/>
      </w:pPr>
      <w:r>
        <w:rPr>
          <w:b/>
          <w:bCs/>
        </w:rPr>
        <w:t xml:space="preserve">Reflection</w:t>
      </w:r>
    </w:p>
    <w:p>
      <w:pPr>
        <w:spacing w:after="120"/>
      </w:pPr>
      <w:r>
        <w:rPr>
          <w:b w:val="false"/>
          <w:bCs w:val="false"/>
        </w:rPr>
        <w:t xml:space="preserve">The most useful artefact of the week was not the assistant itself — it was the second metric in Experiment A. The slug-citation count alone made the experiment look like a tie (both variants at 0% "hallucination") because the ungrounded variant does not know about slug brackets. Adding the prose-mention scorer made the actual difference visible: ungrounded confidently recommends products Joule does not sell (75% wrong brand, 20% wrong generation). The lesson for the next experiment is to think about whether the metric symmetrically applies to both variants before running.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2026-05-13T13:35:05.126Z</dcterms:created>
  <dcterms:modified xsi:type="dcterms:W3CDTF">2026-05-13T13:35:05.126Z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