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Sprint 1 retro — Weeks 1 to 4</w:t>
      </w:r>
    </w:p>
    <w:p>
      <w:pPr>
        <w:spacing w:after="120"/>
      </w:pPr>
      <w:r>
        <w:rPr>
          <w:b w:val="false"/>
          <w:bCs w:val="false"/>
        </w:rPr>
        <w:t xml:space="preserve">Closing retro for the first sprint. The weekly retros under weekly/ cover each week individually; this document is the four-week rollup with the things that only become visible over the longer arc.</w:t>
      </w:r>
    </w:p>
    <w:p>
      <w:pPr>
        <w:pStyle w:val="Heading2"/>
        <w:spacing w:after="120" w:before="240"/>
      </w:pPr>
      <w:r>
        <w:rPr>
          <w:b/>
          <w:bCs/>
        </w:rPr>
        <w:t xml:space="preserve">What shipped</w:t>
      </w:r>
    </w:p>
    <w:p>
      <w:pPr>
        <w:pStyle w:val="ListParagraph"/>
        <w:numPr>
          <w:ilvl w:val="0"/>
          <w:numId w:val="2"/>
        </w:numPr>
        <w:spacing w:after="80"/>
      </w:pPr>
      <w:r>
        <w:t xml:space="preserve">Foundation (Week 1): SvelteKit 2 + Supabase + RLS + the catalog browse experience.</w:t>
      </w:r>
    </w:p>
    <w:p>
      <w:pPr>
        <w:pStyle w:val="ListParagraph"/>
        <w:numPr>
          <w:ilvl w:val="0"/>
          <w:numId w:val="2"/>
        </w:numPr>
        <w:spacing w:after="80"/>
      </w:pPr>
      <w:r>
        <w:t xml:space="preserve">Commerce core (Week 2): cart, wishlist, Stripe test-mode checkout, PDPs with image galleries, reviews with aspect ratings, semantic search over pgvector. 16 L1 BDD scenarios.</w:t>
      </w:r>
    </w:p>
    <w:p>
      <w:pPr>
        <w:pStyle w:val="ListParagraph"/>
        <w:numPr>
          <w:ilvl w:val="0"/>
          <w:numId w:val="2"/>
        </w:numPr>
        <w:spacing w:after="80"/>
      </w:pPr>
      <w:r>
        <w:t xml:space="preserve">Intelligence layer (Week 3): conversational assistant with three catalog tools, comparison synthesiser, review-intelligence panel, embedding-hybrid recommender, L2 grounding invariants, Experiment A.</w:t>
      </w:r>
    </w:p>
    <w:p>
      <w:pPr>
        <w:pStyle w:val="ListParagraph"/>
        <w:numPr>
          <w:ilvl w:val="0"/>
          <w:numId w:val="2"/>
        </w:numPr>
        <w:spacing w:after="80"/>
      </w:pPr>
      <w:r>
        <w:t xml:space="preserve">Sprint close (Week 4): SonarCloud + k6 load tests + Experiment B + post-deploy smoke + portfolio summary. Hardening pass merged from a separate branch (typed Database, security headers, idempotent Stripe webhook, unit tests).</w:t>
      </w:r>
    </w:p>
    <w:p>
      <w:pPr>
        <w:pStyle w:val="Heading2"/>
        <w:spacing w:after="120" w:before="240"/>
      </w:pPr>
      <w:r>
        <w:rPr>
          <w:b/>
          <w:bCs/>
        </w:rPr>
        <w:t xml:space="preserve">What the experiments said</w:t>
      </w:r>
    </w:p>
    <w:p>
      <w:pPr>
        <w:spacing w:after="120"/>
      </w:pPr>
      <w:r>
        <w:rPr>
          <w:b w:val="false"/>
          <w:bCs w:val="false"/>
        </w:rPr>
        <w:t xml:space="preserve">Experiment A across 24 prompts: the grounded variant produced 51 product citations, all real (0% hallucination). The ungrounded variant produced 254 prose product mentions, of which less than 5% match anything Joule actually carries — 75% are brands we don't stock, 20% are wrong-generation products of brands we do stock (iPhone 15 instead of 17, Pixel 8 instead of 10). The L2 invariant held under stress.</w:t>
      </w:r>
    </w:p>
    <w:p>
      <w:pPr>
        <w:spacing w:after="120"/>
      </w:pPr>
      <w:r>
        <w:rPr>
          <w:b w:val="false"/>
          <w:bCs w:val="false"/>
        </w:rPr>
        <w:t xml:space="preserve">Experiment B on 10 prompts found that visible vs hidden reasoning didn't move trust (tied 4.90 / 4.90) but visible cost clarity (4.30 vs 5.00). The judge was the same model family as the writer, which is a known weakness — same biases on both sides. The honest read is "this experiment can't distinguish raw markdown brackets from rendered link chips", which is a methodology lesson for Sprint 2 more than a UX finding.</w:t>
      </w:r>
    </w:p>
    <w:p>
      <w:pPr>
        <w:pStyle w:val="Heading2"/>
        <w:spacing w:after="120" w:before="240"/>
      </w:pPr>
      <w:r>
        <w:rPr>
          <w:b/>
          <w:bCs/>
        </w:rPr>
        <w:t xml:space="preserve">What I would change about the process</w:t>
      </w:r>
    </w:p>
    <w:p>
      <w:pPr>
        <w:pStyle w:val="ListParagraph"/>
        <w:numPr>
          <w:ilvl w:val="0"/>
          <w:numId w:val="2"/>
        </w:numPr>
        <w:spacing w:after="80"/>
      </w:pPr>
      <w:r>
        <w:t xml:space="preserve">Write the experiments' metrics BEFORE running them, not after. Experiment A v1's first metric (slug-citation hallucination rate) gave a misleading 0% / 0% tie because the ungrounded variant doesn't emit slug citations at all. The v2 metric (prose product mentions classified by brand and model number) is what made the actual gap visible. Spending an extra hour writing the metric down before pressing run would have saved a day of misleading numbers.</w:t>
      </w:r>
    </w:p>
    <w:p>
      <w:pPr>
        <w:pStyle w:val="ListParagraph"/>
        <w:numPr>
          <w:ilvl w:val="0"/>
          <w:numId w:val="2"/>
        </w:numPr>
        <w:spacing w:after="80"/>
      </w:pPr>
      <w:r>
        <w:t xml:space="preserve">Treat "infrastructure" tickets as full slices, not glue. SonarCloud, the DORA report action, the gitattributes pin — each took a real chunk of time. Budgeting them as 30-minute side quests was wrong.</w:t>
      </w:r>
    </w:p>
    <w:p>
      <w:pPr>
        <w:pStyle w:val="ListParagraph"/>
        <w:numPr>
          <w:ilvl w:val="0"/>
          <w:numId w:val="2"/>
        </w:numPr>
        <w:spacing w:after="80"/>
      </w:pPr>
      <w:r>
        <w:t xml:space="preserve">Per-aspect uniqueness on reviews. The schema and UI assume one review per aspect per user; the unique-index hardening migration enforced one review per user period. Caught after deploy. The lesson is that constraints have to be reasoned about from the UI down, not the schema up.</w:t>
      </w:r>
    </w:p>
    <w:p>
      <w:pPr>
        <w:pStyle w:val="Heading2"/>
        <w:spacing w:after="120" w:before="240"/>
      </w:pPr>
      <w:r>
        <w:rPr>
          <w:b/>
          <w:bCs/>
        </w:rPr>
        <w:t xml:space="preserve">What I would not change</w:t>
      </w:r>
    </w:p>
    <w:p>
      <w:pPr>
        <w:pStyle w:val="ListParagraph"/>
        <w:numPr>
          <w:ilvl w:val="0"/>
          <w:numId w:val="2"/>
        </w:numPr>
        <w:spacing w:after="80"/>
      </w:pPr>
      <w:r>
        <w:t xml:space="preserve">RLS from the first migration. Every Sprint-1 feature that involved user-scoped data — orders, wishlist, cart, reviews — could have leaked across users if any single route forgot to filter by auth.uid(). RLS at the DB level meant those mistakes were impossible, not just unlikely.</w:t>
      </w:r>
    </w:p>
    <w:p>
      <w:pPr>
        <w:pStyle w:val="ListParagraph"/>
        <w:numPr>
          <w:ilvl w:val="0"/>
          <w:numId w:val="2"/>
        </w:numPr>
        <w:spacing w:after="80"/>
      </w:pPr>
      <w:r>
        <w:t xml:space="preserve">The catalog-cache + recommender split. Sixty-second in-memory caches on the seven hot reads, plus the embedding-hybrid recommender falling back to rule-based when no embeddings are populated, kept latency and cost both predictable across the four weeks without ever having to revisit them.</w:t>
      </w:r>
    </w:p>
    <w:p>
      <w:pPr>
        <w:pStyle w:val="ListParagraph"/>
        <w:numPr>
          <w:ilvl w:val="0"/>
          <w:numId w:val="2"/>
        </w:numPr>
        <w:spacing w:after="80"/>
      </w:pPr>
      <w:r>
        <w:t xml:space="preserve">Splitting Experiment A from L2. L2 (every slug cited must exist in the catalog) ran in CI as a pass/fail gate and held throughout the sprint. Experiment A was the supporting evidence — quantitative, comparative, but never a merge gate. Keeping the two cleanly separated turned out to matter when the prose-mention metric needed rewriting between v1 and v2.</w:t>
      </w:r>
    </w:p>
    <w:p>
      <w:pPr>
        <w:pStyle w:val="Heading2"/>
        <w:spacing w:after="120" w:before="240"/>
      </w:pPr>
      <w:r>
        <w:rPr>
          <w:b/>
          <w:bCs/>
        </w:rPr>
        <w:t xml:space="preserve">Numbers for the portfolio</w:t>
      </w:r>
    </w:p>
    <w:p>
      <w:pPr>
        <w:pStyle w:val="ListParagraph"/>
        <w:numPr>
          <w:ilvl w:val="0"/>
          <w:numId w:val="2"/>
        </w:numPr>
        <w:spacing w:after="80"/>
      </w:pPr>
      <w:r>
        <w:t xml:space="preserve">Code: 26 source files in src/, around 9 500 lines added net across Sprint 1 (Weeks 1–4).</w:t>
      </w:r>
    </w:p>
    <w:p>
      <w:pPr>
        <w:pStyle w:val="ListParagraph"/>
        <w:numPr>
          <w:ilvl w:val="0"/>
          <w:numId w:val="2"/>
        </w:numPr>
        <w:spacing w:after="80"/>
      </w:pPr>
      <w:r>
        <w:t xml:space="preserve">Tests: 30 unit tests in vitest, 16 layer-1 BDD scenarios, 3 layer-2 invariants, 3 layer-3 tolerance scenarios. All green in CI.</w:t>
      </w:r>
    </w:p>
    <w:p>
      <w:pPr>
        <w:pStyle w:val="ListParagraph"/>
        <w:numPr>
          <w:ilvl w:val="0"/>
          <w:numId w:val="2"/>
        </w:numPr>
        <w:spacing w:after="80"/>
      </w:pPr>
      <w:r>
        <w:t xml:space="preserve">Hallucinations: 0 of 51 product slug citations from the grounded assistant under a 24-prompt stress.</w:t>
      </w:r>
    </w:p>
    <w:p>
      <w:pPr>
        <w:pStyle w:val="ListParagraph"/>
        <w:numPr>
          <w:ilvl w:val="0"/>
          <w:numId w:val="2"/>
        </w:numPr>
        <w:spacing w:after="80"/>
      </w:pPr>
      <w:r>
        <w:t xml:space="preserve">DORA week-of-Sprint-1-close: deploy frequency 1.4 per week, lead time ~10 minutes (PR opened to merge), failure rate 0%, MTTR n/a.</w:t>
      </w:r>
    </w:p>
    <w:p>
      <w:pPr>
        <w:pStyle w:val="Heading2"/>
        <w:spacing w:after="120" w:before="240"/>
      </w:pPr>
      <w:r>
        <w:rPr>
          <w:b/>
          <w:bCs/>
        </w:rPr>
        <w:t xml:space="preserve">Where Sprint 2 starts</w:t>
      </w:r>
    </w:p>
    <w:p>
      <w:pPr>
        <w:spacing w:after="120"/>
      </w:pPr>
      <w:r>
        <w:rPr>
          <w:b w:val="false"/>
          <w:bCs w:val="false"/>
        </w:rPr>
        <w:t xml:space="preserve">Admin platform (Week 5 in the plan): product management, fulfilment workflow, user admin, review moderation, AI-assisted support drafting, role-based access via RLS. Plus observability + perf (Week 6), accessibility + Experiment C (Week 7), and synthesis (Week 8).</w:t>
      </w:r>
    </w:p>
    <w:p>
      <w:pPr>
        <w:pStyle w:val="Heading2"/>
        <w:spacing w:after="120" w:before="240"/>
      </w:pPr>
      <w:r>
        <w:rPr>
          <w:b/>
          <w:bCs/>
        </w:rPr>
        <w:t xml:space="preserve">Learning outcomes — sprint rollup</w:t>
      </w:r>
    </w:p>
    <w:p>
      <w:pPr>
        <w:pStyle w:val="ListParagraph"/>
        <w:numPr>
          <w:ilvl w:val="0"/>
          <w:numId w:val="2"/>
        </w:numPr>
        <w:spacing w:after="80"/>
      </w:pPr>
      <w:r>
        <w:rPr>
          <w:b/>
          <w:bCs/>
        </w:rPr>
        <w:t xml:space="preserve">Engineering Approach</w:t>
      </w:r>
      <w:r>
        <w:t xml:space="preserve"> — Two evidence-based experiments end-to-end (A and B) with quantitative scoring. Multiple feedback loops layered on top of each other: BDD layers 1, 2, and 3; DORA metrics; SonarCloud quality gate. System thinking visible in the shared AI stack (one prompt module, one gateway helper, one tool set across three AI features) and in the checkout reconciliation flow.</w:t>
      </w:r>
    </w:p>
    <w:p>
      <w:pPr>
        <w:pStyle w:val="ListParagraph"/>
        <w:numPr>
          <w:ilvl w:val="0"/>
          <w:numId w:val="2"/>
        </w:numPr>
        <w:spacing w:after="80"/>
      </w:pPr>
      <w:r>
        <w:rPr>
          <w:b/>
          <w:bCs/>
        </w:rPr>
        <w:t xml:space="preserve">Software Quality</w:t>
      </w:r>
      <w:r>
        <w:t xml:space="preserve"> — Five ISO 25010 attributes measured: security via RLS, reliability via L2 invariants, performance efficiency via the cache layer and k6 load tests, maintainability via SonarCloud, functional suitability via the BDD layers. 30 unit tests, 16 layer-1 scenarios, 3 layer-2 invariants, 3 layer-3 tolerance scenarios.</w:t>
      </w:r>
    </w:p>
    <w:p>
      <w:pPr>
        <w:pStyle w:val="ListParagraph"/>
        <w:numPr>
          <w:ilvl w:val="0"/>
          <w:numId w:val="2"/>
        </w:numPr>
        <w:spacing w:after="80"/>
      </w:pPr>
      <w:r>
        <w:rPr>
          <w:b/>
          <w:bCs/>
        </w:rPr>
        <w:t xml:space="preserve">Software Maintenance</w:t>
      </w:r>
      <w:r>
        <w:t xml:space="preserve"> — CI from Week 1, Vercel preview + prod auto-deploys, hardening pass adding security headers + typed DB client + idempotent Stripe webhook, DORA report auto-refreshed weekly, post-deploy smoke action, SonarCloud-driven quality gate on every push to main. The full "automate all" loop is in place.</w:t>
      </w:r>
    </w:p>
    <w:p>
      <w:pPr>
        <w:pStyle w:val="ListParagraph"/>
        <w:numPr>
          <w:ilvl w:val="0"/>
          <w:numId w:val="2"/>
        </w:numPr>
        <w:spacing w:after="80"/>
      </w:pPr>
      <w:r>
        <w:rPr>
          <w:b/>
          <w:bCs/>
        </w:rPr>
        <w:t xml:space="preserve">Professional Standard</w:t>
      </w:r>
      <w:r>
        <w:t xml:space="preserve"> — Two applied-research experiments with methodological transparency. Hard scope guard on AI prompts and explicit refusal patterns for off-catalog requests address AI Act-style obligations. Every non-trivial decision logged with context and consequences (5 ADRs). Weekly retros and this sprint retro produced as portable artefacts the stakeholder can audit.</w:t>
      </w:r>
    </w:p>
    <w:p>
      <w:pPr>
        <w:pStyle w:val="ListParagraph"/>
        <w:numPr>
          <w:ilvl w:val="0"/>
          <w:numId w:val="2"/>
        </w:numPr>
        <w:spacing w:after="80"/>
      </w:pPr>
      <w:r>
        <w:rPr>
          <w:b/>
          <w:bCs/>
        </w:rPr>
        <w:t xml:space="preserve">Personal Leadership</w:t>
      </w:r>
      <w:r>
        <w:t xml:space="preserve"> — Weekly retros every week, sprint retro at sprint close. Explicit "what I would change" lists feeding the next sprint's plan. Decision to adopt Spec-Kit as a methodology change in Sprint 2 was made at sprint close — a deliberate growth move rather than continuing on autopilot.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2026-05-27T13:19:41.028Z</dcterms:created>
  <dcterms:modified xsi:type="dcterms:W3CDTF">2026-05-27T13:19:41.028Z</dcterms:modified>
</cp:coreProperties>
</file>

<file path=docProps/custom.xml><?xml version="1.0" encoding="utf-8"?>
<Properties xmlns="http://schemas.openxmlformats.org/officeDocument/2006/custom-properties" xmlns:vt="http://schemas.openxmlformats.org/officeDocument/2006/docPropsVTypes"/>
</file>