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01 — foundation</w:t>
      </w:r>
    </w:p>
    <w:p>
      <w:pPr>
        <w:spacing w:after="120"/>
      </w:pPr>
      <w:r>
        <w:rPr>
          <w:b/>
          <w:bCs/>
        </w:rPr>
        <w:t xml:space="preserve">Branch: week-01-foundation</w:t>
      </w:r>
    </w:p>
    <w:p>
      <w:pPr>
        <w:spacing w:after="120"/>
      </w:pPr>
      <w:r>
        <w:rPr>
          <w:b/>
          <w:bCs/>
        </w:rPr>
        <w:t xml:space="preserve">Tags: shipped, slipped, rescoped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SvelteKit 2 + Svelte 5 scaffold with TypeScript, Vitest, Playwright, ESLint, Prettier.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Tailwind v4 with custom palette and typography.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 project: schema migration for categories, products, product_images, reviews, carts, cart_items, orders, order_items, wishlists; pgvector embedding column on products; RLS policies on day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Seed script importing the initial catalog.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catalog pages: /, /categories, /category/[slug], /product/[slug].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SSR-first rendering with category and price filters.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 + password auth via Supabase, with cookie-based SSR sessions through @supabase/ssr.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GitHub Actions CI: typecheck, lint, unit, Playwright BDD layer-1 placeholder.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Playwright-BDD skeleton with first three scenarios.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Vercel project linked, preview deploys per PR, production on main.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Nothing material. The week stayed on plan.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Started with a richer schema than the brief minimum — orders, order_items, and wishlists were created in Week 1 even though they were not exercised yet. Reason: rebuilding the schema mid-project would have been more expensive than over-provisioning it up front.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Supabase + SvelteKit + Tailwind combination paid off. Almost all of the week's time went into actual catalog work rather than infrastructure plumbing. The single decision I would not change is enabling RLS from the first migration — later weeks would have been painful otherwise.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2026-05-18T15:41:50.284Z</dcterms:created>
  <dcterms:modified xsi:type="dcterms:W3CDTF">2026-05-18T15:41:50.284Z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