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04 — Sprint 1 close</w:t>
      </w:r>
    </w:p>
    <w:p>
      <w:pPr>
        <w:spacing w:after="120"/>
      </w:pPr>
      <w:r>
        <w:rPr>
          <w:b/>
          <w:bCs/>
        </w:rPr>
        <w:t xml:space="preserve">Branch: week-04-sprint1-close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SonarCloud integration: sonar-project.properties + .github/workflows/sonar.yml. Coverage from vitest in lcov, scanned on push to main and on PRs. Project is on the free tier so feature branches scan only via their PR diff.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Vitest coverage: new test:coverage script + @vitest/coverage-v8. Reports go to /coverage (text + html + lcov). Same lcov file feeds SonarCloud.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k6 load tests under tests/load/: a smoke test (1 VU, 30 s, used by the post-deploy step) and a sustained run (0 → 20 → 0 VUs over 3 min). Both hit only the public read routes — AI endpoints are excluded because the rate limiter would just produce 429s.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docs/load-test.md explaining the scripts, thresholds, and how to run locally vs against Vercel.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B: visible vs hidden recommendation reasoning, LLM-judge scored. scripts/experiment-b.ts generates one response per prompt then evaluates it both with [slug] brackets intact (visible) and stripped (hidden). Judge sees them in randomised order and scores trust / clarity / usefulness + a forced preference. Writes docs/experiment-b.md.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Sprint-1 retro (this document) + portfolio summary that links every Sprint-1 artefact in one place.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Sonar workflow needed two correction passes after the first push. (1) GitHub Actions blocks `secrets.*` references inside step `if` conditions, so the "skip if SONAR_TOKEN missing" guard I wrote made the workflow file fail to parse outright. (2) Free SonarCloud rejects pushes from non-main branches with "Organization is not allowed to access data from non main branches", so the workflow had to be retargeted to `main` + PRs only. Both fixed in the same week; small irritation rather than a real slip.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Originally intended to do a "first production deploy" as a discrete step. Vercel was already auto-deploying every push to main, so the "first prod deploy" had effectively happened weeks ago. Replaced with a smoke-test action that runs the k6 smoke against the prod URL post-deploy, which is a more useful artefact.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Experiment B produced the most interesting finding of the sprint, and it ran against the brief's own assumption. The brief expected visible reasoning to improve trust; the LLM judge said the opposite: trust was a tie (4.90 both sides) but the markdown brackets dragged clarity down (4.30 vs 5.00). The right read isn't "ship the hidden variant" — it's that the value of slug citations lives in their being interactive (clickable chips that scroll or link), not in their being literally present in the prose. A real user study with the rendered UI would settle it; the experiment can't.</w:t>
      </w:r>
    </w:p>
    <w:p>
      <w:pPr>
        <w:spacing w:after="120"/>
      </w:pPr>
      <w:r>
        <w:rPr>
          <w:b w:val="false"/>
          <w:bCs w:val="false"/>
        </w:rPr>
        <w:t xml:space="preserve">The other lesson is operational: every "infrastructure" piece this week (Sonar, k6, the smoke action) took longer than the code change. Setting up the SonarCloud organisation, switching from automatic to CI-based analysis, finding the secrets policy on `if`, learning that free-tier rejects non-main pushes — none of that is in the README of any tool. Worth budgeting more time for the setup loop on similar tooling in Sprint 2.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2026-05-18T15:41:50.293Z</dcterms:created>
  <dcterms:modified xsi:type="dcterms:W3CDTF">2026-05-18T15:41:50.293Z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