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Two kinds of documents live here.</w:t>
      </w:r>
    </w:p>
    <w:p>
      <w:pPr>
        <w:pStyle w:val="Heading2"/>
        <w:spacing w:after="120" w:before="240"/>
      </w:pPr>
      <w:r>
        <w:rPr>
          <w:b/>
          <w:bCs/>
        </w:rPr>
        <w:t xml:space="preserve">decisions/</w:t>
      </w:r>
    </w:p>
    <w:p>
      <w:pPr>
        <w:spacing w:after="120"/>
      </w:pPr>
      <w:r>
        <w:rPr>
          <w:b w:val="false"/>
          <w:bCs w:val="false"/>
        </w:rPr>
        <w:t xml:space="preserve">Architecture decision records (ADRs). One file per non-trivial choice made during the build. Each ADR is dated, gives the context, says what was decided, and lists the consequences I expect to live with.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0001 — Supabase as the platform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0002 — Vercel AI Gateway over the Anthropic SDK directly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0003 — Embedding-hybrid recommender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0004 — Paginated reviews with URL-based page state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0005 — Refuse to write a verdict for cross-category comparisons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three sections in every entry: shipped, slipped, rescoped. Plus a reflection paragraph when something is worth flagging for the next week.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ADRs and retros are reference material, not gates. Pull requests can cite them. New decisions go in as new ADRs rather than rewriting old ones.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2026-05-13T10:55:59.467Z</dcterms:created>
  <dcterms:modified xsi:type="dcterms:W3CDTF">2026-05-13T10:55:59.467Z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