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p>
      <w:pPr>
        <w:pStyle w:val="Heading2"/>
        <w:spacing w:after="120" w:before="240"/>
      </w:pPr>
      <w:r>
        <w:rPr>
          <w:b/>
          <w:bCs/>
        </w:rPr>
        <w:t xml:space="preserve">Learning outcomes — sprint rollup</w:t>
      </w:r>
    </w:p>
    <w:p>
      <w:pPr>
        <w:pStyle w:val="ListParagraph"/>
        <w:numPr>
          <w:ilvl w:val="0"/>
          <w:numId w:val="2"/>
        </w:numPr>
        <w:spacing w:after="80"/>
      </w:pPr>
      <w:r>
        <w:rPr>
          <w:b/>
          <w:bCs/>
        </w:rPr>
        <w:t xml:space="preserve">Engineering Approach</w:t>
      </w:r>
      <w:r>
        <w:t xml:space="preserve"> — Two evidence-based experiments end-to-end (A and B) with quantitative scoring. Multiple feedback loops layered on top of each other: BDD layers 1, 2, and 3; DORA metrics; SonarCloud quality gate. System thinking visible in the shared AI stack (one prompt module, one gateway helper, one tool set across three AI features) and in the checkout reconciliation flow.</w:t>
      </w:r>
    </w:p>
    <w:p>
      <w:pPr>
        <w:pStyle w:val="ListParagraph"/>
        <w:numPr>
          <w:ilvl w:val="0"/>
          <w:numId w:val="2"/>
        </w:numPr>
        <w:spacing w:after="80"/>
      </w:pPr>
      <w:r>
        <w:rPr>
          <w:b/>
          <w:bCs/>
        </w:rPr>
        <w:t xml:space="preserve">Software Quality</w:t>
      </w:r>
      <w:r>
        <w:t xml:space="preserve"> — Five ISO 25010 attributes measured: security via RLS, reliability via L2 invariants, performance efficiency via the cache layer and k6 load tests, maintainability via SonarCloud, functional suitability via the BDD layers. 30 unit tests, 16 layer-1 scenarios, 3 layer-2 invariants, 3 layer-3 tolerance scenarios.</w:t>
      </w:r>
    </w:p>
    <w:p>
      <w:pPr>
        <w:pStyle w:val="ListParagraph"/>
        <w:numPr>
          <w:ilvl w:val="0"/>
          <w:numId w:val="2"/>
        </w:numPr>
        <w:spacing w:after="80"/>
      </w:pPr>
      <w:r>
        <w:rPr>
          <w:b/>
          <w:bCs/>
        </w:rPr>
        <w:t xml:space="preserve">Software Maintenance</w:t>
      </w:r>
      <w:r>
        <w:t xml:space="preserve"> — CI from Week 1, Vercel preview + prod auto-deploys, hardening pass adding security headers + typed DB client + idempotent Stripe webhook, DORA report auto-refreshed weekly, post-deploy smoke action, SonarCloud-driven quality gate on every push to main. The full "automate all" loop is in place.</w:t>
      </w:r>
    </w:p>
    <w:p>
      <w:pPr>
        <w:pStyle w:val="ListParagraph"/>
        <w:numPr>
          <w:ilvl w:val="0"/>
          <w:numId w:val="2"/>
        </w:numPr>
        <w:spacing w:after="80"/>
      </w:pPr>
      <w:r>
        <w:rPr>
          <w:b/>
          <w:bCs/>
        </w:rPr>
        <w:t xml:space="preserve">Professional Standard</w:t>
      </w:r>
      <w:r>
        <w:t xml:space="preserve"> — Two applied-research experiments with methodological transparency. Hard scope guard on AI prompts and explicit refusal patterns for off-catalog requests address AI Act-style obligations. Every non-trivial decision logged with context and consequences (5 ADRs). Weekly retros and this sprint retro produced as portable artefacts the stakeholder can audit.</w:t>
      </w:r>
    </w:p>
    <w:p>
      <w:pPr>
        <w:pStyle w:val="ListParagraph"/>
        <w:numPr>
          <w:ilvl w:val="0"/>
          <w:numId w:val="2"/>
        </w:numPr>
        <w:spacing w:after="80"/>
      </w:pPr>
      <w:r>
        <w:rPr>
          <w:b/>
          <w:bCs/>
        </w:rPr>
        <w:t xml:space="preserve">Personal Leadership</w:t>
      </w:r>
      <w:r>
        <w:t xml:space="preserve"> — Weekly retros every week, sprint retro at sprint close. Explicit "what I would change" lists feeding the next sprint's plan. Decision to adopt Spec-Kit as a methodology change in Sprint 2 was made at sprint close — a deliberate growth move rather than continuing on autopilot.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2026-05-18T17:32:28.698Z</dcterms:created>
  <dcterms:modified xsi:type="dcterms:W3CDTF">2026-05-18T17:32:28.698Z</dcterms:modified>
</cp:coreProperties>
</file>

<file path=docProps/custom.xml><?xml version="1.0" encoding="utf-8"?>
<Properties xmlns="http://schemas.openxmlformats.org/officeDocument/2006/custom-properties" xmlns:vt="http://schemas.openxmlformats.org/officeDocument/2006/docPropsVTypes"/>
</file>