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Subway 2.0: 30-Year Scaled Growth Architecture (Greenfield Scenario)</w:t>
      </w:r>
    </w:p>
    <w:p>
      <w:pPr>
        <w:pStyle w:val="Heading2"/>
      </w:pPr>
      <w:r>
        <w:t>1. Non-Negotiable Design Principles</w:t>
      </w:r>
    </w:p>
    <w:p>
      <w:r>
        <w:t>- Unit economics over store count: Target strong 4-wall profit and healthy payback before scaling.</w:t>
      </w:r>
    </w:p>
    <w:p>
      <w:r>
        <w:t>- Controlled density and territory planning using robust data from day one.</w:t>
      </w:r>
    </w:p>
    <w:p>
      <w:r>
        <w:t>- Hybrid mindset: strategic company-operated/JV “lab” markets, even in a franchise-led system.</w:t>
      </w:r>
    </w:p>
    <w:p>
      <w:r>
        <w:t>- Fewer, better franchisees: multi-unit capable, financially strong, culturally aligned.</w:t>
      </w:r>
    </w:p>
    <w:p>
      <w:r>
        <w:t>- Hard governance and brand standards with real enforcement tools.</w:t>
      </w:r>
    </w:p>
    <w:p>
      <w:r>
        <w:t>- Tech and data as core infrastructure, integrated from the first store.</w:t>
      </w:r>
    </w:p>
    <w:p>
      <w:r>
        <w:t>- Franchisee prosperity as a primary success metric, not a slogan.</w:t>
      </w:r>
    </w:p>
    <w:p>
      <w:pPr>
        <w:pStyle w:val="Heading2"/>
      </w:pPr>
      <w:r>
        <w:t>2. Strategic Ownership &amp; Growth Options</w:t>
      </w:r>
    </w:p>
    <w:p>
      <w:pPr>
        <w:pStyle w:val="Heading3"/>
      </w:pPr>
      <w:r>
        <w:t>Option A — Franchise-Led with a Corporate Spine</w:t>
      </w:r>
    </w:p>
    <w:p>
      <w:r>
        <w:t>Approx. 85–90% franchised; 10–15% corporate/JV. Corporate stores anchor standards, innovation, and training.</w:t>
      </w:r>
    </w:p>
    <w:p>
      <w:pPr>
        <w:pStyle w:val="Heading3"/>
      </w:pPr>
      <w:r>
        <w:t>Option B — Corporate-Heavy First, Curated Franchising Later</w:t>
      </w:r>
    </w:p>
    <w:p>
      <w:r>
        <w:t>First 500–1,000+ stores primarily corporate to perfect economics, operations, design, and supply chain; then curated franchising.</w:t>
      </w:r>
    </w:p>
    <w:p>
      <w:pPr>
        <w:pStyle w:val="Heading3"/>
      </w:pPr>
      <w:r>
        <w:t>Option C — Ultra-Curated All-Franchise Network</w:t>
      </w:r>
    </w:p>
    <w:p>
      <w:r>
        <w:t>95%+ franchised with a tiny set of lab stores; strict territory, performance, and reinvestment standards.</w:t>
      </w:r>
    </w:p>
    <w:p>
      <w:pPr>
        <w:pStyle w:val="Heading2"/>
      </w:pPr>
      <w:r>
        <w:t>3. 30-Year Roadmap (5-Year Phases)</w:t>
      </w:r>
    </w:p>
    <w:p>
      <w:pPr>
        <w:pStyle w:val="Heading3"/>
      </w:pPr>
      <w:r>
        <w:t>Years 0–5: Prototype for Scale (25–50 Stores)</w:t>
      </w:r>
    </w:p>
    <w:p>
      <w:r>
        <w:t>Corporate-heavy, lab markets only. Validate unit economics, operations model, tech stack, and density rules.</w:t>
      </w:r>
    </w:p>
    <w:p>
      <w:pPr>
        <w:pStyle w:val="Heading3"/>
      </w:pPr>
      <w:r>
        <w:t>Years 5–10: Prove Replication (200–400 Stores)</w:t>
      </w:r>
    </w:p>
    <w:p>
      <w:r>
        <w:t>Enter additional regions only after playbook success. Launch curated franchising. Implement hubs and anti-cannibalization analytics.</w:t>
      </w:r>
    </w:p>
    <w:p>
      <w:pPr>
        <w:pStyle w:val="Heading3"/>
      </w:pPr>
      <w:r>
        <w:t>Years 10–15: Scale with Teeth (1,000–3,000 Stores)</w:t>
      </w:r>
    </w:p>
    <w:p>
      <w:r>
        <w:t>Corporate spine + multi-unit franchisees. Strong councils, performance tiers, and governance.</w:t>
      </w:r>
    </w:p>
    <w:p>
      <w:pPr>
        <w:pStyle w:val="Heading3"/>
      </w:pPr>
      <w:r>
        <w:t>Years 15–20: Smart Density (5,000–8,000 Stores)</w:t>
      </w:r>
    </w:p>
    <w:p>
      <w:r>
        <w:t>Disciplined infill; remodel cycles; format evolution; aggressive analytics to protect AUV and profitability.</w:t>
      </w:r>
    </w:p>
    <w:p>
      <w:pPr>
        <w:pStyle w:val="Heading3"/>
      </w:pPr>
      <w:r>
        <w:t>Years 20–25: Peak Build-Out (12,000–16,000 Stores)</w:t>
      </w:r>
    </w:p>
    <w:p>
      <w:r>
        <w:t>White-space driven growth only; zero tolerance for junk sites; relocations and structured transfers.</w:t>
      </w:r>
    </w:p>
    <w:p>
      <w:pPr>
        <w:pStyle w:val="Heading3"/>
      </w:pPr>
      <w:r>
        <w:t>Years 25–30: Portfolio Management Era (~20,000 Stores)</w:t>
      </w:r>
    </w:p>
    <w:p>
      <w:r>
        <w:t>Operate within a healthy band; continuous pruning; labs drive innovation.</w:t>
      </w:r>
    </w:p>
    <w:p>
      <w:pPr>
        <w:pStyle w:val="Heading2"/>
      </w:pPr>
      <w:r>
        <w:t>4. Franchisee Engagement &amp; Support</w:t>
      </w:r>
    </w:p>
    <w:p>
      <w:r>
        <w:t>- Align royalties, fees, and ad fund usage with store-level profitability and reinvestment.</w:t>
      </w:r>
    </w:p>
    <w:p>
      <w:r>
        <w:t>- Create franchisee councils with bounded influence on menu, marketing, and standards.</w:t>
      </w:r>
    </w:p>
    <w:p>
      <w:r>
        <w:t>- Tiered support; intensive turnaround or structured exit for chronic underperformers.</w:t>
      </w:r>
    </w:p>
    <w:p>
      <w:r>
        <w:t>- Internal talent pipeline from crew to multi-unit franchisee.</w:t>
      </w:r>
    </w:p>
    <w:p>
      <w:r>
        <w:t>- Transparent benchmarking and shared data tools.</w:t>
      </w:r>
    </w:p>
    <w:p>
      <w:pPr>
        <w:pStyle w:val="Heading2"/>
      </w:pPr>
      <w:r>
        <w:t>5. Food Relevance &amp; Brand Promise Protection</w:t>
      </w:r>
    </w:p>
    <w:p>
      <w:r>
        <w:t>Permanent Culinary Council and R&amp;D engine using corporate “lab” stores. Core menu + Innovation Layer with test→prove→scale discipline.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