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F3E65" w14:textId="77777777" w:rsidR="00F1203A" w:rsidRDefault="00F1203A">
      <w:pPr>
        <w:spacing w:before="800" w:after="100"/>
        <w:jc w:val="center"/>
        <w:rPr>
          <w:b/>
          <w:bCs/>
          <w:color w:val="1F3864"/>
          <w:sz w:val="48"/>
          <w:szCs w:val="48"/>
        </w:rPr>
      </w:pPr>
    </w:p>
    <w:p w14:paraId="376EAC7E" w14:textId="5DC13180" w:rsidR="00F1203A" w:rsidRDefault="00F1203A">
      <w:pPr>
        <w:spacing w:before="800" w:after="100"/>
        <w:jc w:val="center"/>
        <w:rPr>
          <w:b/>
          <w:bCs/>
          <w:color w:val="1F3864"/>
          <w:sz w:val="48"/>
          <w:szCs w:val="48"/>
        </w:rPr>
      </w:pPr>
      <w:r>
        <w:rPr>
          <w:b/>
          <w:bCs/>
          <w:noProof/>
          <w:color w:val="1F3864"/>
          <w:sz w:val="48"/>
          <w:szCs w:val="48"/>
        </w:rPr>
        <w:drawing>
          <wp:inline distT="0" distB="0" distL="0" distR="0" wp14:anchorId="5794D7A9" wp14:editId="23B41496">
            <wp:extent cx="2299224" cy="470007"/>
            <wp:effectExtent l="0" t="0" r="6350" b="6350"/>
            <wp:docPr id="2769459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45902" name="Imagem 276945902"/>
                    <pic:cNvPicPr/>
                  </pic:nvPicPr>
                  <pic:blipFill>
                    <a:blip r:embed="rId7">
                      <a:extLst>
                        <a:ext uri="{28A0092B-C50C-407E-A947-70E740481C1C}">
                          <a14:useLocalDpi xmlns:a14="http://schemas.microsoft.com/office/drawing/2010/main" val="0"/>
                        </a:ext>
                      </a:extLst>
                    </a:blip>
                    <a:stretch>
                      <a:fillRect/>
                    </a:stretch>
                  </pic:blipFill>
                  <pic:spPr>
                    <a:xfrm>
                      <a:off x="0" y="0"/>
                      <a:ext cx="2299224" cy="470007"/>
                    </a:xfrm>
                    <a:prstGeom prst="rect">
                      <a:avLst/>
                    </a:prstGeom>
                  </pic:spPr>
                </pic:pic>
              </a:graphicData>
            </a:graphic>
          </wp:inline>
        </w:drawing>
      </w:r>
    </w:p>
    <w:p w14:paraId="37321788" w14:textId="77777777" w:rsidR="00F1203A" w:rsidRDefault="00F1203A">
      <w:pPr>
        <w:spacing w:before="800" w:after="100"/>
        <w:jc w:val="center"/>
        <w:rPr>
          <w:b/>
          <w:bCs/>
          <w:color w:val="1F3864"/>
          <w:sz w:val="48"/>
          <w:szCs w:val="48"/>
        </w:rPr>
      </w:pPr>
    </w:p>
    <w:p w14:paraId="22AA5BF4" w14:textId="2BDC22DC" w:rsidR="00270008" w:rsidRDefault="00000000">
      <w:pPr>
        <w:spacing w:before="800" w:after="100"/>
        <w:jc w:val="center"/>
      </w:pPr>
      <w:r>
        <w:rPr>
          <w:b/>
          <w:bCs/>
          <w:color w:val="1F3864"/>
          <w:sz w:val="48"/>
          <w:szCs w:val="48"/>
        </w:rPr>
        <w:t>NOP 001/2026</w:t>
      </w:r>
    </w:p>
    <w:p w14:paraId="7C965BCE" w14:textId="77777777" w:rsidR="00270008" w:rsidRDefault="00000000">
      <w:pPr>
        <w:spacing w:after="100"/>
        <w:jc w:val="center"/>
      </w:pPr>
      <w:r>
        <w:rPr>
          <w:b/>
          <w:bCs/>
          <w:color w:val="B8860B"/>
          <w:sz w:val="28"/>
          <w:szCs w:val="28"/>
        </w:rPr>
        <w:t>Norma Operacional Padrão de Implantação e Governança</w:t>
      </w:r>
    </w:p>
    <w:p w14:paraId="2F4CE892" w14:textId="77777777" w:rsidR="00270008" w:rsidRDefault="00000000">
      <w:pPr>
        <w:spacing w:after="500"/>
        <w:jc w:val="center"/>
      </w:pPr>
      <w:r>
        <w:rPr>
          <w:i/>
          <w:iCs/>
          <w:color w:val="595959"/>
        </w:rPr>
        <w:t>CENTI LTDA  |  Gestão de Projetos e Estratégia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6511"/>
      </w:tblGrid>
      <w:tr w:rsidR="00270008" w14:paraId="72ADA6C6" w14:textId="77777777">
        <w:tc>
          <w:tcPr>
            <w:tcW w:w="3200" w:type="dxa"/>
            <w:shd w:val="clear" w:color="auto" w:fill="F2F2F2"/>
            <w:tcMar>
              <w:top w:w="100" w:type="dxa"/>
              <w:left w:w="150" w:type="dxa"/>
              <w:bottom w:w="100" w:type="dxa"/>
              <w:right w:w="150" w:type="dxa"/>
            </w:tcMar>
          </w:tcPr>
          <w:p w14:paraId="3482F0E5" w14:textId="77777777" w:rsidR="00270008" w:rsidRDefault="00000000">
            <w:r>
              <w:rPr>
                <w:b/>
                <w:bCs/>
                <w:color w:val="1F3864"/>
                <w:sz w:val="20"/>
                <w:szCs w:val="20"/>
              </w:rPr>
              <w:t>Autoridade de Coordenação</w:t>
            </w:r>
          </w:p>
        </w:tc>
        <w:tc>
          <w:tcPr>
            <w:tcW w:w="6800" w:type="dxa"/>
            <w:tcMar>
              <w:top w:w="100" w:type="dxa"/>
              <w:left w:w="150" w:type="dxa"/>
              <w:bottom w:w="100" w:type="dxa"/>
              <w:right w:w="150" w:type="dxa"/>
            </w:tcMar>
          </w:tcPr>
          <w:p w14:paraId="1E606273" w14:textId="76EC7B19" w:rsidR="00270008" w:rsidRDefault="00CE4296">
            <w:r w:rsidRPr="00CE4296">
              <w:rPr>
                <w:sz w:val="20"/>
                <w:szCs w:val="20"/>
              </w:rPr>
              <w:t>Coordenador de Implantação</w:t>
            </w:r>
            <w:r>
              <w:rPr>
                <w:sz w:val="20"/>
                <w:szCs w:val="20"/>
              </w:rPr>
              <w:t xml:space="preserve"> </w:t>
            </w:r>
            <w:r w:rsidR="00000000">
              <w:rPr>
                <w:sz w:val="20"/>
                <w:szCs w:val="20"/>
              </w:rPr>
              <w:t>DC</w:t>
            </w:r>
          </w:p>
        </w:tc>
      </w:tr>
      <w:tr w:rsidR="00270008" w14:paraId="66D221C2" w14:textId="77777777">
        <w:tc>
          <w:tcPr>
            <w:tcW w:w="3200" w:type="dxa"/>
            <w:shd w:val="clear" w:color="auto" w:fill="F2F2F2"/>
            <w:tcMar>
              <w:top w:w="100" w:type="dxa"/>
              <w:left w:w="150" w:type="dxa"/>
              <w:bottom w:w="100" w:type="dxa"/>
              <w:right w:w="150" w:type="dxa"/>
            </w:tcMar>
          </w:tcPr>
          <w:p w14:paraId="0AE3E156" w14:textId="77777777" w:rsidR="00270008" w:rsidRDefault="00000000">
            <w:r>
              <w:rPr>
                <w:b/>
                <w:bCs/>
                <w:color w:val="1F3864"/>
                <w:sz w:val="20"/>
                <w:szCs w:val="20"/>
              </w:rPr>
              <w:t>Célula de Normatização</w:t>
            </w:r>
          </w:p>
        </w:tc>
        <w:tc>
          <w:tcPr>
            <w:tcW w:w="6800" w:type="dxa"/>
            <w:tcMar>
              <w:top w:w="100" w:type="dxa"/>
              <w:left w:w="150" w:type="dxa"/>
              <w:bottom w:w="100" w:type="dxa"/>
              <w:right w:w="150" w:type="dxa"/>
            </w:tcMar>
          </w:tcPr>
          <w:p w14:paraId="634846D4" w14:textId="77777777" w:rsidR="00270008" w:rsidRDefault="00000000">
            <w:r>
              <w:rPr>
                <w:sz w:val="20"/>
                <w:szCs w:val="20"/>
              </w:rPr>
              <w:t>QA (Quality Assurance) e BAs (Business Analysts)</w:t>
            </w:r>
          </w:p>
        </w:tc>
      </w:tr>
      <w:tr w:rsidR="00270008" w14:paraId="66FEFC72" w14:textId="77777777">
        <w:tc>
          <w:tcPr>
            <w:tcW w:w="3200" w:type="dxa"/>
            <w:shd w:val="clear" w:color="auto" w:fill="F2F2F2"/>
            <w:tcMar>
              <w:top w:w="100" w:type="dxa"/>
              <w:left w:w="150" w:type="dxa"/>
              <w:bottom w:w="100" w:type="dxa"/>
              <w:right w:w="150" w:type="dxa"/>
            </w:tcMar>
          </w:tcPr>
          <w:p w14:paraId="2665FB27" w14:textId="77777777" w:rsidR="00270008" w:rsidRDefault="00000000">
            <w:r>
              <w:rPr>
                <w:b/>
                <w:bCs/>
                <w:color w:val="1F3864"/>
                <w:sz w:val="20"/>
                <w:szCs w:val="20"/>
              </w:rPr>
              <w:t>Versão</w:t>
            </w:r>
          </w:p>
        </w:tc>
        <w:tc>
          <w:tcPr>
            <w:tcW w:w="6800" w:type="dxa"/>
            <w:tcMar>
              <w:top w:w="100" w:type="dxa"/>
              <w:left w:w="150" w:type="dxa"/>
              <w:bottom w:w="100" w:type="dxa"/>
              <w:right w:w="150" w:type="dxa"/>
            </w:tcMar>
          </w:tcPr>
          <w:p w14:paraId="3160BB52" w14:textId="0D1AB9B1" w:rsidR="00270008" w:rsidRDefault="00000000">
            <w:r>
              <w:rPr>
                <w:sz w:val="20"/>
                <w:szCs w:val="20"/>
              </w:rPr>
              <w:t>12.</w:t>
            </w:r>
            <w:r w:rsidR="00CE4296">
              <w:rPr>
                <w:sz w:val="20"/>
                <w:szCs w:val="20"/>
              </w:rPr>
              <w:t>5</w:t>
            </w:r>
            <w:r>
              <w:rPr>
                <w:sz w:val="20"/>
                <w:szCs w:val="20"/>
              </w:rPr>
              <w:t>— Edição Consolidada (Corpo Único, sem Anexos)</w:t>
            </w:r>
          </w:p>
        </w:tc>
      </w:tr>
      <w:tr w:rsidR="00270008" w14:paraId="362CA4BA" w14:textId="77777777">
        <w:tc>
          <w:tcPr>
            <w:tcW w:w="3200" w:type="dxa"/>
            <w:shd w:val="clear" w:color="auto" w:fill="F2F2F2"/>
            <w:tcMar>
              <w:top w:w="100" w:type="dxa"/>
              <w:left w:w="150" w:type="dxa"/>
              <w:bottom w:w="100" w:type="dxa"/>
              <w:right w:w="150" w:type="dxa"/>
            </w:tcMar>
          </w:tcPr>
          <w:p w14:paraId="5F27A270" w14:textId="77777777" w:rsidR="00270008" w:rsidRDefault="00000000">
            <w:r>
              <w:rPr>
                <w:b/>
                <w:bCs/>
                <w:color w:val="1F3864"/>
                <w:sz w:val="20"/>
                <w:szCs w:val="20"/>
              </w:rPr>
              <w:t>Fundamentação da Nomenclatura</w:t>
            </w:r>
          </w:p>
        </w:tc>
        <w:tc>
          <w:tcPr>
            <w:tcW w:w="6800" w:type="dxa"/>
            <w:tcMar>
              <w:top w:w="100" w:type="dxa"/>
              <w:left w:w="150" w:type="dxa"/>
              <w:bottom w:w="100" w:type="dxa"/>
              <w:right w:w="150" w:type="dxa"/>
            </w:tcMar>
          </w:tcPr>
          <w:p w14:paraId="0E8F9AA7" w14:textId="77777777" w:rsidR="00270008" w:rsidRDefault="00000000">
            <w:r>
              <w:rPr>
                <w:sz w:val="20"/>
                <w:szCs w:val="20"/>
              </w:rPr>
              <w:t>Líder de Implantação</w:t>
            </w:r>
          </w:p>
        </w:tc>
      </w:tr>
      <w:tr w:rsidR="00270008" w14:paraId="23857C40" w14:textId="77777777">
        <w:tc>
          <w:tcPr>
            <w:tcW w:w="3200" w:type="dxa"/>
            <w:shd w:val="clear" w:color="auto" w:fill="F2F2F2"/>
            <w:tcMar>
              <w:top w:w="100" w:type="dxa"/>
              <w:left w:w="150" w:type="dxa"/>
              <w:bottom w:w="100" w:type="dxa"/>
              <w:right w:w="150" w:type="dxa"/>
            </w:tcMar>
          </w:tcPr>
          <w:p w14:paraId="69B845EA" w14:textId="77777777" w:rsidR="00270008" w:rsidRDefault="00000000">
            <w:r>
              <w:rPr>
                <w:b/>
                <w:bCs/>
                <w:color w:val="1F3864"/>
                <w:sz w:val="20"/>
                <w:szCs w:val="20"/>
              </w:rPr>
              <w:t>Conformidade com a Arquitetura ERP</w:t>
            </w:r>
          </w:p>
        </w:tc>
        <w:tc>
          <w:tcPr>
            <w:tcW w:w="6800" w:type="dxa"/>
            <w:tcMar>
              <w:top w:w="100" w:type="dxa"/>
              <w:left w:w="150" w:type="dxa"/>
              <w:bottom w:w="100" w:type="dxa"/>
              <w:right w:w="150" w:type="dxa"/>
            </w:tcMar>
          </w:tcPr>
          <w:p w14:paraId="5D5F13BF" w14:textId="77777777" w:rsidR="00270008" w:rsidRDefault="00000000">
            <w:r>
              <w:rPr>
                <w:sz w:val="20"/>
                <w:szCs w:val="20"/>
              </w:rPr>
              <w:t>#TK059 — Alinhamento direto com o campo oficial do sistema</w:t>
            </w:r>
          </w:p>
        </w:tc>
      </w:tr>
    </w:tbl>
    <w:p w14:paraId="52FC7260" w14:textId="77777777" w:rsidR="00270008" w:rsidRDefault="00000000">
      <w:r>
        <w:br w:type="page"/>
      </w:r>
    </w:p>
    <w:p w14:paraId="39BC9F86" w14:textId="77777777" w:rsidR="00270008" w:rsidRDefault="00000000">
      <w:pPr>
        <w:pStyle w:val="Ttulo1"/>
        <w:pBdr>
          <w:bottom w:val="single" w:sz="8" w:space="4" w:color="1F3864"/>
        </w:pBdr>
        <w:spacing w:before="480" w:after="200"/>
      </w:pPr>
      <w:r>
        <w:rPr>
          <w:b/>
          <w:bCs/>
          <w:color w:val="1F3864"/>
          <w:sz w:val="30"/>
          <w:szCs w:val="30"/>
        </w:rPr>
        <w:lastRenderedPageBreak/>
        <w:t>1. Objetivo e Premissa Estratégica</w:t>
      </w:r>
    </w:p>
    <w:p w14:paraId="14409892" w14:textId="77777777" w:rsidR="00270008" w:rsidRDefault="00000000">
      <w:pPr>
        <w:spacing w:after="160" w:line="300" w:lineRule="auto"/>
        <w:jc w:val="both"/>
      </w:pPr>
      <w:r>
        <w:t>Esta norma estabelece o rito integrado para a implantação do ERP Centi, fundamentando-se nos pilares estratégicos de Agilidade Processual, Segurança Jurídica e Fidelização Estratégica.</w:t>
      </w:r>
    </w:p>
    <w:p w14:paraId="0D29D80F" w14:textId="77777777" w:rsidR="00270008" w:rsidRDefault="00000000">
      <w:pPr>
        <w:spacing w:after="160" w:line="300" w:lineRule="auto"/>
        <w:jc w:val="both"/>
      </w:pPr>
      <w:r>
        <w:rPr>
          <w:b/>
          <w:bCs/>
        </w:rPr>
        <w:t xml:space="preserve">Meta Central: </w:t>
      </w:r>
      <w:r>
        <w:t>Transformar o processo de transição em um ativo de prestígio para a gestão municipal, garantindo a autonomia operacional ao funcionalismo público e a estabilidade técnica de longo prazo, de forma colaborativa e integrada à cultura local.</w:t>
      </w:r>
    </w:p>
    <w:p w14:paraId="195261B6" w14:textId="77777777" w:rsidR="00270008" w:rsidRDefault="00000000">
      <w:pPr>
        <w:pStyle w:val="Ttulo1"/>
        <w:pBdr>
          <w:bottom w:val="single" w:sz="8" w:space="4" w:color="1F3864"/>
        </w:pBdr>
        <w:spacing w:before="480" w:after="200"/>
      </w:pPr>
      <w:r>
        <w:rPr>
          <w:b/>
          <w:bCs/>
          <w:color w:val="1F3864"/>
          <w:sz w:val="30"/>
          <w:szCs w:val="30"/>
        </w:rPr>
        <w:t>2. Estrutura Funcional e Centralização (#TK059)</w:t>
      </w:r>
    </w:p>
    <w:p w14:paraId="087B47AE" w14:textId="77777777" w:rsidR="00270008" w:rsidRDefault="00000000">
      <w:pPr>
        <w:pStyle w:val="Ttulo2"/>
        <w:spacing w:before="320" w:after="140"/>
      </w:pPr>
      <w:r>
        <w:rPr>
          <w:b/>
          <w:bCs/>
          <w:color w:val="1F3864"/>
          <w:sz w:val="24"/>
          <w:szCs w:val="24"/>
        </w:rPr>
        <w:t>2.1 Do Papel de Líder de Implantação</w:t>
      </w:r>
    </w:p>
    <w:p w14:paraId="7C799967" w14:textId="77777777" w:rsidR="00270008" w:rsidRDefault="00000000">
      <w:pPr>
        <w:pStyle w:val="PargrafodaLista"/>
        <w:numPr>
          <w:ilvl w:val="0"/>
          <w:numId w:val="2"/>
        </w:numPr>
        <w:spacing w:after="100" w:line="280" w:lineRule="auto"/>
      </w:pPr>
      <w:r>
        <w:rPr>
          <w:b/>
          <w:bCs/>
        </w:rPr>
        <w:t xml:space="preserve">Alinhamento Sistêmico: </w:t>
      </w:r>
      <w:r>
        <w:t>Em total harmonia com a arquitetura da tela #TK059, fica ratificada a nomenclatura "Líder de Implantação" para o responsável pela condução técnica e tática do projeto.</w:t>
      </w:r>
    </w:p>
    <w:p w14:paraId="5FFEF14A" w14:textId="77777777" w:rsidR="00270008" w:rsidRDefault="00000000">
      <w:pPr>
        <w:pStyle w:val="PargrafodaLista"/>
        <w:numPr>
          <w:ilvl w:val="0"/>
          <w:numId w:val="2"/>
        </w:numPr>
        <w:spacing w:after="100" w:line="280" w:lineRule="auto"/>
      </w:pPr>
      <w:r>
        <w:rPr>
          <w:b/>
          <w:bCs/>
        </w:rPr>
        <w:t xml:space="preserve">Designação Funcional de Projeto: </w:t>
      </w:r>
      <w:r>
        <w:t>Trata-se de uma responsabilidade técnica e temporária, restrita ao escopo e à vigência do respectivo projeto.</w:t>
      </w:r>
    </w:p>
    <w:p w14:paraId="527B7AE0" w14:textId="77777777" w:rsidR="00270008" w:rsidRDefault="00000000">
      <w:pPr>
        <w:pStyle w:val="PargrafodaLista"/>
        <w:numPr>
          <w:ilvl w:val="0"/>
          <w:numId w:val="2"/>
        </w:numPr>
        <w:spacing w:after="100" w:line="280" w:lineRule="auto"/>
      </w:pPr>
      <w:r>
        <w:rPr>
          <w:b/>
          <w:bCs/>
        </w:rPr>
        <w:t xml:space="preserve">Articulação de Cronogramas: </w:t>
      </w:r>
      <w:r>
        <w:t>Profissional responsável por executar e acompanhar a sequência lógica de implantação, prestando suporte no equilíbrio entre a capacidade técnica operacional da Centi e o cronograma do cliente.</w:t>
      </w:r>
    </w:p>
    <w:p w14:paraId="6625B8CB" w14:textId="77777777" w:rsidR="00270008" w:rsidRDefault="00000000">
      <w:pPr>
        <w:pStyle w:val="PargrafodaLista"/>
        <w:numPr>
          <w:ilvl w:val="0"/>
          <w:numId w:val="2"/>
        </w:numPr>
        <w:spacing w:after="100" w:line="280" w:lineRule="auto"/>
      </w:pPr>
      <w:r>
        <w:rPr>
          <w:b/>
          <w:bCs/>
        </w:rPr>
        <w:t xml:space="preserve">Curador da "Single Source of Truth": </w:t>
      </w:r>
      <w:r>
        <w:t>Atua como o ponto focal encarregado de zelar pela integridade dos dados na tela #TK059, assegurando que as informações inseridas reflitam fielmente a realidade das etapas de campo.</w:t>
      </w:r>
    </w:p>
    <w:p w14:paraId="502F2048" w14:textId="77777777" w:rsidR="00270008" w:rsidRDefault="00000000">
      <w:pPr>
        <w:pStyle w:val="PargrafodaLista"/>
        <w:numPr>
          <w:ilvl w:val="0"/>
          <w:numId w:val="2"/>
        </w:numPr>
        <w:spacing w:after="100" w:line="280" w:lineRule="auto"/>
      </w:pPr>
      <w:r>
        <w:rPr>
          <w:b/>
          <w:bCs/>
        </w:rPr>
        <w:t xml:space="preserve">Interface com Inteligência Artificial: </w:t>
      </w:r>
      <w:r>
        <w:t>Supervisiona o assistente Vicenti para a consolidação de dados e geração automatizada das Atas.</w:t>
      </w:r>
    </w:p>
    <w:p w14:paraId="3AF65082" w14:textId="77777777" w:rsidR="00270008" w:rsidRDefault="00000000">
      <w:pPr>
        <w:pStyle w:val="PargrafodaLista"/>
        <w:numPr>
          <w:ilvl w:val="0"/>
          <w:numId w:val="2"/>
        </w:numPr>
        <w:spacing w:after="100" w:line="280" w:lineRule="auto"/>
      </w:pPr>
      <w:r>
        <w:rPr>
          <w:b/>
          <w:bCs/>
        </w:rPr>
        <w:t xml:space="preserve">Validação Técnica de Conformidade: </w:t>
      </w:r>
      <w:r>
        <w:t>Responsável por atestar tecnicamente a prontidão de cada módulo, em estrita conformidade com os parâmetros da empresa, antes do envio para a etapa de transição.</w:t>
      </w:r>
    </w:p>
    <w:p w14:paraId="167B69B7" w14:textId="77777777" w:rsidR="00270008" w:rsidRDefault="00000000">
      <w:pPr>
        <w:pStyle w:val="Ttulo2"/>
        <w:spacing w:before="320" w:after="140"/>
      </w:pPr>
      <w:r>
        <w:rPr>
          <w:b/>
          <w:bCs/>
          <w:color w:val="1F3864"/>
          <w:sz w:val="24"/>
          <w:szCs w:val="24"/>
        </w:rPr>
        <w:t>2.2 O CRM no Papel de "Bridge" (Laço de Transição) e a Suplência Operacional</w:t>
      </w:r>
    </w:p>
    <w:p w14:paraId="179346D5" w14:textId="77777777" w:rsidR="00270008" w:rsidRDefault="00000000">
      <w:pPr>
        <w:spacing w:before="220" w:after="100"/>
      </w:pPr>
      <w:r>
        <w:rPr>
          <w:b/>
          <w:bCs/>
          <w:color w:val="B8860B"/>
        </w:rPr>
        <w:t>Conceito — Bridge Titular</w:t>
      </w:r>
    </w:p>
    <w:p w14:paraId="08111972" w14:textId="77777777" w:rsidR="00270008" w:rsidRDefault="00000000">
      <w:pPr>
        <w:spacing w:after="160" w:line="300" w:lineRule="auto"/>
        <w:jc w:val="both"/>
      </w:pPr>
      <w:r>
        <w:t>O CRM assume cumulativamente a responsabilidade de Bridge, consolidando-se como o elo de alta confiança que sustenta o Handover. Sendo a face institucional da Centi desde a venda até a entrega, o CRM atua como o porto seguro definitivo do cliente. Isso garante que a transição entre a Implantação e o Suporte Padrão (SD) ocorra sem vácuos, permitindo que o Prefeito ou Secretários saibam exatamente a quem recorrer.</w:t>
      </w:r>
    </w:p>
    <w:p w14:paraId="1309E982" w14:textId="77777777" w:rsidR="00270008" w:rsidRDefault="00000000">
      <w:pPr>
        <w:spacing w:before="220" w:after="100"/>
      </w:pPr>
      <w:r>
        <w:rPr>
          <w:b/>
          <w:bCs/>
          <w:color w:val="B8860B"/>
        </w:rPr>
        <w:t>A Figura da Bridge Suplente</w:t>
      </w:r>
    </w:p>
    <w:p w14:paraId="7E4FD173" w14:textId="77777777" w:rsidR="00270008" w:rsidRDefault="00000000">
      <w:pPr>
        <w:spacing w:after="160" w:line="300" w:lineRule="auto"/>
        <w:jc w:val="both"/>
      </w:pPr>
      <w:r>
        <w:t>Fica estabelecida a figura da Bridge Suplente (vinculada à estrutura interna de QA/Suporte Avançado). Ela atua como o braço operacional do CRM na retaguarda interna da Centi. Diante de indisponibilidades ocasionais ou sobrecarga do titular, a Bridge Suplente assume a retaguarda técnica e o andamento das soluções na matriz, assegurando a continuidade dos atendimentos.</w:t>
      </w:r>
    </w:p>
    <w:p w14:paraId="572335F1" w14:textId="77777777" w:rsidR="00270008" w:rsidRDefault="00000000">
      <w:pPr>
        <w:spacing w:before="220" w:after="100"/>
      </w:pPr>
      <w:r>
        <w:rPr>
          <w:b/>
          <w:bCs/>
          <w:color w:val="B8860B"/>
        </w:rPr>
        <w:t>O DNA do Alinhamento Bridge — Foco em Articulação e Processos</w:t>
      </w:r>
    </w:p>
    <w:p w14:paraId="7CD9407B" w14:textId="77777777" w:rsidR="00270008" w:rsidRDefault="00000000">
      <w:pPr>
        <w:pStyle w:val="PargrafodaLista"/>
        <w:numPr>
          <w:ilvl w:val="0"/>
          <w:numId w:val="2"/>
        </w:numPr>
        <w:spacing w:after="100" w:line="280" w:lineRule="auto"/>
      </w:pPr>
      <w:r>
        <w:rPr>
          <w:b/>
          <w:bCs/>
        </w:rPr>
        <w:lastRenderedPageBreak/>
        <w:t xml:space="preserve">Visão Macro Operacional: </w:t>
      </w:r>
      <w:r>
        <w:t>Compreensão geral do ecossistema do ERP Centi para identificar prontamente a natureza da dor trazida pelo cliente.</w:t>
      </w:r>
    </w:p>
    <w:p w14:paraId="358B9809" w14:textId="77777777" w:rsidR="00270008" w:rsidRDefault="00000000">
      <w:pPr>
        <w:pStyle w:val="PargrafodaLista"/>
        <w:numPr>
          <w:ilvl w:val="0"/>
          <w:numId w:val="2"/>
        </w:numPr>
        <w:spacing w:after="100" w:line="280" w:lineRule="auto"/>
      </w:pPr>
      <w:r>
        <w:rPr>
          <w:b/>
          <w:bCs/>
        </w:rPr>
        <w:t xml:space="preserve">Mapeamento de Especialistas: </w:t>
      </w:r>
      <w:r>
        <w:t>Conhecimento do organograma técnico interno da Centi para saber exatamente qual equipe acionar.</w:t>
      </w:r>
    </w:p>
    <w:p w14:paraId="475453BB" w14:textId="77777777" w:rsidR="00270008" w:rsidRDefault="00000000">
      <w:pPr>
        <w:pStyle w:val="PargrafodaLista"/>
        <w:numPr>
          <w:ilvl w:val="0"/>
          <w:numId w:val="2"/>
        </w:numPr>
        <w:spacing w:after="100" w:line="280" w:lineRule="auto"/>
      </w:pPr>
      <w:r>
        <w:rPr>
          <w:b/>
          <w:bCs/>
        </w:rPr>
        <w:t xml:space="preserve">Proficiência em Roteamento: </w:t>
      </w:r>
      <w:r>
        <w:t>Domínio das ferramentas de gestão de tickets e projetos (#TK059) para garantir que o problema chegue triado e com a prioridade correta.</w:t>
      </w:r>
    </w:p>
    <w:p w14:paraId="091D0B32" w14:textId="77777777" w:rsidR="00270008" w:rsidRDefault="00000000">
      <w:pPr>
        <w:pStyle w:val="PargrafodaLista"/>
        <w:numPr>
          <w:ilvl w:val="0"/>
          <w:numId w:val="2"/>
        </w:numPr>
        <w:spacing w:after="100" w:line="280" w:lineRule="auto"/>
      </w:pPr>
      <w:r>
        <w:rPr>
          <w:b/>
          <w:bCs/>
        </w:rPr>
        <w:t xml:space="preserve">Diplomacia e Acolhimento: </w:t>
      </w:r>
      <w:r>
        <w:t>Capacidade de filtrar a "reclamação emocional" do gestor público, transformando-as em chamados técnicos objetivos.</w:t>
      </w:r>
    </w:p>
    <w:p w14:paraId="3A4343F9" w14:textId="77777777" w:rsidR="00270008" w:rsidRDefault="00000000">
      <w:pPr>
        <w:pStyle w:val="Ttulo2"/>
        <w:spacing w:before="320" w:after="140"/>
      </w:pPr>
      <w:r>
        <w:rPr>
          <w:b/>
          <w:bCs/>
          <w:color w:val="1F3864"/>
          <w:sz w:val="24"/>
          <w:szCs w:val="24"/>
        </w:rPr>
        <w:t>2.3 O Cockpit Único: A Soberania da Informação</w:t>
      </w:r>
    </w:p>
    <w:p w14:paraId="419373E2" w14:textId="77777777" w:rsidR="00270008" w:rsidRDefault="00000000">
      <w:pPr>
        <w:spacing w:after="160" w:line="300" w:lineRule="auto"/>
        <w:jc w:val="both"/>
      </w:pPr>
      <w:r>
        <w:t>A tela #TK059 é consolidada como o repositório único e central de inteligência e dados de cada projeto. O projeto deve ser mantido de forma autoexplicativa através da atualização diária de suas quatro abas fundamentais:</w:t>
      </w:r>
    </w:p>
    <w:p w14:paraId="50D1896E" w14:textId="77777777" w:rsidR="00270008" w:rsidRDefault="00000000">
      <w:pPr>
        <w:pStyle w:val="PargrafodaLista"/>
        <w:numPr>
          <w:ilvl w:val="0"/>
          <w:numId w:val="2"/>
        </w:numPr>
        <w:spacing w:after="100" w:line="280" w:lineRule="auto"/>
      </w:pPr>
      <w:r>
        <w:rPr>
          <w:b/>
          <w:bCs/>
        </w:rPr>
        <w:t xml:space="preserve">Módulos (Diagnóstico): </w:t>
      </w:r>
      <w:r>
        <w:t>Mapeamento do status real, percentual de evolução e aderência dos sistemas.</w:t>
      </w:r>
    </w:p>
    <w:p w14:paraId="1192231F" w14:textId="77777777" w:rsidR="00270008" w:rsidRDefault="00000000">
      <w:pPr>
        <w:pStyle w:val="PargrafodaLista"/>
        <w:numPr>
          <w:ilvl w:val="0"/>
          <w:numId w:val="2"/>
        </w:numPr>
        <w:spacing w:after="100" w:line="280" w:lineRule="auto"/>
      </w:pPr>
      <w:r>
        <w:rPr>
          <w:b/>
          <w:bCs/>
        </w:rPr>
        <w:t xml:space="preserve">Ticket (Treinamentos): </w:t>
      </w:r>
      <w:r>
        <w:t>Agendamentos, registros de presença e histórico de capacitação dos servidores.</w:t>
      </w:r>
    </w:p>
    <w:p w14:paraId="2E5A0DCA" w14:textId="77777777" w:rsidR="00270008" w:rsidRDefault="00000000">
      <w:pPr>
        <w:pStyle w:val="PargrafodaLista"/>
        <w:numPr>
          <w:ilvl w:val="0"/>
          <w:numId w:val="2"/>
        </w:numPr>
        <w:spacing w:after="100" w:line="280" w:lineRule="auto"/>
      </w:pPr>
      <w:r>
        <w:rPr>
          <w:b/>
          <w:bCs/>
        </w:rPr>
        <w:t xml:space="preserve">Observação (A Wiki do Cliente): </w:t>
      </w:r>
      <w:r>
        <w:t>Registro histórico de particularidades, perfis e regras de negócio municipais.</w:t>
      </w:r>
    </w:p>
    <w:p w14:paraId="4FCFDAB2" w14:textId="77777777" w:rsidR="00270008" w:rsidRDefault="00000000">
      <w:pPr>
        <w:pStyle w:val="PargrafodaLista"/>
        <w:numPr>
          <w:ilvl w:val="0"/>
          <w:numId w:val="2"/>
        </w:numPr>
        <w:spacing w:after="100" w:line="280" w:lineRule="auto"/>
      </w:pPr>
      <w:r>
        <w:rPr>
          <w:b/>
          <w:bCs/>
        </w:rPr>
        <w:t xml:space="preserve">Documento (Evidências): </w:t>
      </w:r>
      <w:r>
        <w:t>Repositório oficial para uploads de Atas, Termos e Checklists assinados.</w:t>
      </w:r>
    </w:p>
    <w:p w14:paraId="7405B01C" w14:textId="77777777" w:rsidR="00270008" w:rsidRDefault="00000000">
      <w:pPr>
        <w:pStyle w:val="Ttulo1"/>
        <w:pBdr>
          <w:bottom w:val="single" w:sz="8" w:space="4" w:color="1F3864"/>
        </w:pBdr>
        <w:spacing w:before="480" w:after="200"/>
      </w:pPr>
      <w:r>
        <w:rPr>
          <w:b/>
          <w:bCs/>
          <w:color w:val="1F3864"/>
          <w:sz w:val="30"/>
          <w:szCs w:val="30"/>
        </w:rPr>
        <w:t>3. Protocolo de Formalização e Continuidade Operacional</w:t>
      </w:r>
    </w:p>
    <w:p w14:paraId="10000001" w14:textId="77777777" w:rsidR="00270008" w:rsidRDefault="00000000">
      <w:pPr>
        <w:pStyle w:val="Ttulo2"/>
        <w:spacing w:before="320" w:after="140"/>
      </w:pPr>
      <w:r>
        <w:rPr>
          <w:b/>
          <w:bCs/>
          <w:color w:val="1F3864"/>
          <w:sz w:val="24"/>
          <w:szCs w:val="24"/>
        </w:rPr>
        <w:t>3.1 Fluxo de Coleta de Evidências</w:t>
      </w:r>
    </w:p>
    <w:p w14:paraId="10000002" w14:textId="77777777" w:rsidR="00270008" w:rsidRDefault="00000000">
      <w:pPr>
        <w:pStyle w:val="PargrafodaLista"/>
        <w:numPr>
          <w:ilvl w:val="0"/>
          <w:numId w:val="3"/>
        </w:numPr>
        <w:spacing w:after="100" w:line="280" w:lineRule="auto"/>
      </w:pPr>
      <w:r>
        <w:rPr>
          <w:b/>
          <w:bCs/>
        </w:rPr>
        <w:t xml:space="preserve">Geração do Documento: </w:t>
      </w:r>
      <w:r>
        <w:t>O Líder de Implantação é o responsável por redigir e gerar as Atas, Termos de Aceite ou Checklists.</w:t>
      </w:r>
    </w:p>
    <w:p w14:paraId="10000003" w14:textId="1A063AB2" w:rsidR="00270008" w:rsidRDefault="00000000">
      <w:pPr>
        <w:pStyle w:val="PargrafodaLista"/>
        <w:numPr>
          <w:ilvl w:val="0"/>
          <w:numId w:val="3"/>
        </w:numPr>
        <w:spacing w:after="100" w:line="280" w:lineRule="auto"/>
      </w:pPr>
      <w:r>
        <w:rPr>
          <w:b/>
          <w:bCs/>
        </w:rPr>
        <w:t xml:space="preserve">Tramitação Digital: </w:t>
      </w:r>
      <w:r>
        <w:t>O documento deve ser enviado ao servidor público responsável via canais de comunicação ágil (WhatsApp ou E-mail), garantindo a velocidade do processo.</w:t>
      </w:r>
      <w:r w:rsidR="00812C6A">
        <w:t xml:space="preserve"> (</w:t>
      </w:r>
      <w:proofErr w:type="spellStart"/>
      <w:r w:rsidR="00812C6A">
        <w:t>CentiSign</w:t>
      </w:r>
      <w:proofErr w:type="spellEnd"/>
      <w:r w:rsidR="00812C6A">
        <w:t>)</w:t>
      </w:r>
    </w:p>
    <w:p w14:paraId="10000004" w14:textId="77777777" w:rsidR="00270008" w:rsidRDefault="00000000">
      <w:pPr>
        <w:pStyle w:val="PargrafodaLista"/>
        <w:numPr>
          <w:ilvl w:val="0"/>
          <w:numId w:val="3"/>
        </w:numPr>
        <w:spacing w:after="100" w:line="280" w:lineRule="auto"/>
      </w:pPr>
      <w:r>
        <w:rPr>
          <w:b/>
          <w:bCs/>
        </w:rPr>
        <w:t xml:space="preserve">Guarda de Documentos Assinados: </w:t>
      </w:r>
      <w:r>
        <w:t>Caso o documento seja devolvido assinado (via CentiSign ou outro meio), o upload deve ser realizado obrigatoriamente na aba Documento da tela de Implantação (#TK059).</w:t>
      </w:r>
    </w:p>
    <w:p w14:paraId="10000005" w14:textId="77777777" w:rsidR="00270008" w:rsidRDefault="00000000">
      <w:pPr>
        <w:pStyle w:val="Ttulo2"/>
        <w:spacing w:before="320" w:after="140"/>
      </w:pPr>
      <w:r>
        <w:rPr>
          <w:b/>
          <w:bCs/>
          <w:color w:val="1F3864"/>
          <w:sz w:val="24"/>
          <w:szCs w:val="24"/>
        </w:rPr>
        <w:t>3.2 Registro de Resistência ou Inércia (Blindagem Jurídica)</w:t>
      </w:r>
    </w:p>
    <w:p w14:paraId="10000006" w14:textId="77777777" w:rsidR="00270008" w:rsidRDefault="00000000">
      <w:pPr>
        <w:pStyle w:val="PargrafodaLista"/>
        <w:numPr>
          <w:ilvl w:val="0"/>
          <w:numId w:val="2"/>
        </w:numPr>
        <w:spacing w:after="100" w:line="280" w:lineRule="auto"/>
      </w:pPr>
      <w:r>
        <w:rPr>
          <w:b/>
          <w:bCs/>
        </w:rPr>
        <w:t xml:space="preserve">Anotação Mandatória: </w:t>
      </w:r>
      <w:r>
        <w:t>Diante da recusa ou impossibilidade de colher a assinatura imediata do servidor, o Líder de Implantação deve registrar o ocorrido na aba Observação da tela de Implantação (#TK059).</w:t>
      </w:r>
    </w:p>
    <w:p w14:paraId="10000007" w14:textId="77777777" w:rsidR="00270008" w:rsidRDefault="00000000">
      <w:pPr>
        <w:pStyle w:val="PargrafodaLista"/>
        <w:numPr>
          <w:ilvl w:val="0"/>
          <w:numId w:val="2"/>
        </w:numPr>
        <w:spacing w:after="100" w:line="280" w:lineRule="auto"/>
      </w:pPr>
      <w:r>
        <w:rPr>
          <w:b/>
          <w:bCs/>
        </w:rPr>
        <w:t xml:space="preserve">Conteúdo do Registro: </w:t>
      </w:r>
      <w:r>
        <w:t>Devem constar a data do envio, o canal utilizado (ex: WhatsApp), o nome do destinatário e o motivo alegado para a não assinatura.</w:t>
      </w:r>
    </w:p>
    <w:p w14:paraId="10000008" w14:textId="77777777" w:rsidR="00270008" w:rsidRDefault="00000000">
      <w:pPr>
        <w:pStyle w:val="PargrafodaLista"/>
        <w:numPr>
          <w:ilvl w:val="0"/>
          <w:numId w:val="2"/>
        </w:numPr>
        <w:spacing w:after="100" w:line="280" w:lineRule="auto"/>
      </w:pPr>
      <w:r>
        <w:rPr>
          <w:b/>
          <w:bCs/>
        </w:rPr>
        <w:t xml:space="preserve">Princípio da Não Interrupção: </w:t>
      </w:r>
      <w:r>
        <w:t xml:space="preserve">Sob nenhuma hipótese a falta de assinatura ou a inércia do município autoriza a paralisação do cronograma de implantação. O projeto deve seguir seu curso normal, </w:t>
      </w:r>
      <w:r>
        <w:lastRenderedPageBreak/>
        <w:t>utilizando o registro na aba Observação como evidência jurídica de que a Centi cumpriu sua obrigação de entrega e tentativa de formalização.</w:t>
      </w:r>
    </w:p>
    <w:p w14:paraId="44A3CAC0" w14:textId="1FCD238C" w:rsidR="00CE4296" w:rsidRPr="00CE4296" w:rsidRDefault="00CE4296" w:rsidP="00CE4296">
      <w:pPr>
        <w:pStyle w:val="Ttulo4"/>
        <w:shd w:val="clear" w:color="auto" w:fill="FFFFFF"/>
        <w:spacing w:line="324" w:lineRule="atLeast"/>
        <w:rPr>
          <w:rFonts w:ascii="Verdana" w:hAnsi="Verdana"/>
          <w:i w:val="0"/>
          <w:iCs w:val="0"/>
          <w:color w:val="153D63" w:themeColor="text2" w:themeTint="E6"/>
        </w:rPr>
      </w:pPr>
      <w:r w:rsidRPr="00CE4296">
        <w:rPr>
          <w:rStyle w:val="Forte"/>
          <w:rFonts w:ascii="Verdana" w:hAnsi="Verdana"/>
          <w:i w:val="0"/>
          <w:iCs w:val="0"/>
          <w:color w:val="153D63" w:themeColor="text2" w:themeTint="E6"/>
        </w:rPr>
        <w:t xml:space="preserve">3.3 </w:t>
      </w:r>
      <w:r w:rsidRPr="00CE4296">
        <w:rPr>
          <w:rStyle w:val="Forte"/>
          <w:rFonts w:ascii="Verdana" w:hAnsi="Verdana"/>
          <w:i w:val="0"/>
          <w:iCs w:val="0"/>
          <w:color w:val="153D63" w:themeColor="text2" w:themeTint="E6"/>
        </w:rPr>
        <w:t>Matriz de Meios de Assinatura</w:t>
      </w:r>
    </w:p>
    <w:p w14:paraId="5AA61418" w14:textId="77777777" w:rsidR="00CE4296" w:rsidRDefault="00CE4296" w:rsidP="00CE4296">
      <w:pPr>
        <w:numPr>
          <w:ilvl w:val="0"/>
          <w:numId w:val="14"/>
        </w:numPr>
        <w:shd w:val="clear" w:color="auto" w:fill="FFFFFF"/>
        <w:spacing w:before="100" w:beforeAutospacing="1" w:after="100" w:afterAutospacing="1"/>
        <w:rPr>
          <w:rFonts w:ascii="Segoe UI" w:hAnsi="Segoe UI" w:cs="Segoe UI"/>
          <w:color w:val="374151"/>
          <w:sz w:val="20"/>
          <w:szCs w:val="20"/>
        </w:rPr>
      </w:pPr>
      <w:proofErr w:type="spellStart"/>
      <w:r>
        <w:rPr>
          <w:rStyle w:val="Forte"/>
          <w:rFonts w:ascii="Segoe UI" w:hAnsi="Segoe UI" w:cs="Segoe UI"/>
          <w:color w:val="374151"/>
          <w:sz w:val="20"/>
          <w:szCs w:val="20"/>
        </w:rPr>
        <w:t>CentiSign</w:t>
      </w:r>
      <w:proofErr w:type="spellEnd"/>
      <w:r>
        <w:rPr>
          <w:rStyle w:val="Forte"/>
          <w:rFonts w:ascii="Segoe UI" w:hAnsi="Segoe UI" w:cs="Segoe UI"/>
          <w:color w:val="374151"/>
          <w:sz w:val="20"/>
          <w:szCs w:val="20"/>
        </w:rPr>
        <w:t xml:space="preserve"> (Padrão e Preferência):</w:t>
      </w:r>
      <w:r>
        <w:rPr>
          <w:rFonts w:ascii="Segoe UI" w:hAnsi="Segoe UI" w:cs="Segoe UI"/>
          <w:color w:val="374151"/>
          <w:sz w:val="20"/>
          <w:szCs w:val="20"/>
        </w:rPr>
        <w:t xml:space="preserve"> Ferramenta prioritária para a coleta de assinaturas digitais em Atas, Checklists e validação de módulos.</w:t>
      </w:r>
    </w:p>
    <w:p w14:paraId="305DCF96" w14:textId="77777777" w:rsidR="00CE4296" w:rsidRDefault="00CE4296" w:rsidP="00CE4296">
      <w:pPr>
        <w:numPr>
          <w:ilvl w:val="0"/>
          <w:numId w:val="14"/>
        </w:numPr>
        <w:shd w:val="clear" w:color="auto" w:fill="FFFFFF"/>
        <w:spacing w:before="100" w:beforeAutospacing="1" w:after="100" w:afterAutospacing="1"/>
        <w:rPr>
          <w:rFonts w:ascii="Segoe UI" w:hAnsi="Segoe UI" w:cs="Segoe UI"/>
          <w:color w:val="374151"/>
          <w:sz w:val="20"/>
          <w:szCs w:val="20"/>
        </w:rPr>
      </w:pPr>
      <w:r>
        <w:rPr>
          <w:rStyle w:val="Forte"/>
          <w:rFonts w:ascii="Segoe UI" w:hAnsi="Segoe UI" w:cs="Segoe UI"/>
          <w:color w:val="374151"/>
          <w:sz w:val="20"/>
          <w:szCs w:val="20"/>
        </w:rPr>
        <w:t>Gov.br — Níveis Prata/Ouro (Canal de Exceção):</w:t>
      </w:r>
      <w:r>
        <w:rPr>
          <w:rFonts w:ascii="Segoe UI" w:hAnsi="Segoe UI" w:cs="Segoe UI"/>
          <w:color w:val="374151"/>
          <w:sz w:val="20"/>
          <w:szCs w:val="20"/>
        </w:rPr>
        <w:t xml:space="preserve"> Canal reservado exclusivamente para o rito formal de </w:t>
      </w:r>
      <w:proofErr w:type="spellStart"/>
      <w:r>
        <w:rPr>
          <w:rFonts w:ascii="Segoe UI" w:hAnsi="Segoe UI" w:cs="Segoe UI"/>
          <w:color w:val="374151"/>
          <w:sz w:val="20"/>
          <w:szCs w:val="20"/>
        </w:rPr>
        <w:t>Handover</w:t>
      </w:r>
      <w:proofErr w:type="spellEnd"/>
      <w:r>
        <w:rPr>
          <w:rFonts w:ascii="Segoe UI" w:hAnsi="Segoe UI" w:cs="Segoe UI"/>
          <w:color w:val="374151"/>
          <w:sz w:val="20"/>
          <w:szCs w:val="20"/>
        </w:rPr>
        <w:t xml:space="preserve"> (Ata Final) junto ao Prefeito Municipal ou Secretários, caso haja preferência expressa do gestor.</w:t>
      </w:r>
    </w:p>
    <w:p w14:paraId="4ABD389C" w14:textId="77777777" w:rsidR="00CE4296" w:rsidRDefault="00CE4296">
      <w:pPr>
        <w:pStyle w:val="PargrafodaLista"/>
        <w:numPr>
          <w:ilvl w:val="0"/>
          <w:numId w:val="2"/>
        </w:numPr>
        <w:spacing w:after="100" w:line="280" w:lineRule="auto"/>
      </w:pPr>
    </w:p>
    <w:p w14:paraId="49BD12F7" w14:textId="77777777" w:rsidR="00270008" w:rsidRDefault="00000000">
      <w:pPr>
        <w:pStyle w:val="Ttulo1"/>
        <w:pBdr>
          <w:bottom w:val="single" w:sz="8" w:space="4" w:color="1F3864"/>
        </w:pBdr>
        <w:spacing w:before="480" w:after="200"/>
      </w:pPr>
      <w:r>
        <w:rPr>
          <w:b/>
          <w:bCs/>
          <w:color w:val="1F3864"/>
          <w:sz w:val="30"/>
          <w:szCs w:val="30"/>
        </w:rPr>
        <w:t>4. Fases I e II: Planejamento e Execução</w:t>
      </w:r>
    </w:p>
    <w:p w14:paraId="758D591B" w14:textId="77777777" w:rsidR="00270008" w:rsidRDefault="00000000">
      <w:pPr>
        <w:pStyle w:val="PargrafodaLista"/>
        <w:numPr>
          <w:ilvl w:val="0"/>
          <w:numId w:val="5"/>
        </w:numPr>
        <w:spacing w:after="100" w:line="280" w:lineRule="auto"/>
      </w:pPr>
      <w:r>
        <w:rPr>
          <w:b/>
          <w:bCs/>
        </w:rPr>
        <w:t xml:space="preserve">Gatilho CRM: </w:t>
      </w:r>
      <w:r>
        <w:t>Envio do "DNA do Cliente" ao DC e abertura do projeto na tela #TK059 no prazo de até 48 horas úteis.</w:t>
      </w:r>
    </w:p>
    <w:p w14:paraId="4AA056AC" w14:textId="77777777" w:rsidR="00270008" w:rsidRDefault="00000000">
      <w:pPr>
        <w:pStyle w:val="PargrafodaLista"/>
        <w:numPr>
          <w:ilvl w:val="0"/>
          <w:numId w:val="5"/>
        </w:numPr>
        <w:spacing w:after="100" w:line="280" w:lineRule="auto"/>
      </w:pPr>
      <w:r>
        <w:rPr>
          <w:b/>
          <w:bCs/>
        </w:rPr>
        <w:t xml:space="preserve">Kick-off: </w:t>
      </w:r>
      <w:r>
        <w:t>Abertura técnica formalizada por Ata de Abertura e Termo de Recebimento de Dados Legados via CentiSign.</w:t>
      </w:r>
    </w:p>
    <w:p w14:paraId="0429D3B0" w14:textId="77777777" w:rsidR="00270008" w:rsidRDefault="00000000">
      <w:pPr>
        <w:pStyle w:val="PargrafodaLista"/>
        <w:numPr>
          <w:ilvl w:val="0"/>
          <w:numId w:val="5"/>
        </w:numPr>
        <w:spacing w:after="100" w:line="280" w:lineRule="auto"/>
      </w:pPr>
      <w:r>
        <w:rPr>
          <w:b/>
          <w:bCs/>
        </w:rPr>
        <w:t xml:space="preserve">O Rito da Quinta-feira: </w:t>
      </w:r>
      <w:r>
        <w:t>Reuniões semanais de balanço estratégico para validação do progresso e resolução de entraves institucionais.</w:t>
      </w:r>
    </w:p>
    <w:p w14:paraId="53AABA30" w14:textId="77777777" w:rsidR="00270008" w:rsidRDefault="00000000">
      <w:pPr>
        <w:pStyle w:val="Ttulo1"/>
        <w:pBdr>
          <w:bottom w:val="single" w:sz="8" w:space="4" w:color="1F3864"/>
        </w:pBdr>
        <w:spacing w:before="480" w:after="200"/>
      </w:pPr>
      <w:r>
        <w:rPr>
          <w:b/>
          <w:bCs/>
          <w:color w:val="1F3864"/>
          <w:sz w:val="30"/>
          <w:szCs w:val="30"/>
        </w:rPr>
        <w:t>5. Fase III: Grupo de Prontidão e Harmonização (GPH) — Modelo "On-Demand"</w:t>
      </w:r>
    </w:p>
    <w:p w14:paraId="57B5A691" w14:textId="77777777" w:rsidR="00270008" w:rsidRDefault="00000000">
      <w:pPr>
        <w:spacing w:after="160" w:line="300" w:lineRule="auto"/>
        <w:jc w:val="both"/>
      </w:pPr>
      <w:r>
        <w:t>O GPH atua como uma Unidade de Resposta Rápida, acionada exclusivamente por meio de um Gatilho de Criticidade.</w:t>
      </w:r>
    </w:p>
    <w:p w14:paraId="6EC3EE6D" w14:textId="77777777" w:rsidR="00270008" w:rsidRDefault="00000000">
      <w:pPr>
        <w:pStyle w:val="Ttulo2"/>
        <w:spacing w:before="320" w:after="140"/>
      </w:pPr>
      <w:r>
        <w:rPr>
          <w:b/>
          <w:bCs/>
          <w:color w:val="1F3864"/>
          <w:sz w:val="24"/>
          <w:szCs w:val="24"/>
        </w:rPr>
        <w:t>5.1 O Gatilho Híbrido de Ativação (Veredito de Prontidão)</w:t>
      </w:r>
    </w:p>
    <w:p w14:paraId="6D9EBF0F" w14:textId="77777777" w:rsidR="00270008" w:rsidRDefault="00000000">
      <w:pPr>
        <w:spacing w:after="160" w:line="300" w:lineRule="auto"/>
        <w:jc w:val="both"/>
      </w:pPr>
      <w:r>
        <w:t>A mobilização do GPH ocorrerá apenas após o diagnóstico conjunto entre os BAs e o CRM, observando os seguintes critérios:</w:t>
      </w:r>
    </w:p>
    <w:p w14:paraId="7E149F34" w14:textId="77777777" w:rsidR="00270008" w:rsidRDefault="00000000">
      <w:pPr>
        <w:pStyle w:val="PargrafodaLista"/>
        <w:numPr>
          <w:ilvl w:val="0"/>
          <w:numId w:val="6"/>
        </w:numPr>
        <w:spacing w:after="100" w:line="280" w:lineRule="auto"/>
      </w:pPr>
      <w:r>
        <w:rPr>
          <w:b/>
          <w:bCs/>
        </w:rPr>
        <w:t xml:space="preserve">Visão Política (CRM): </w:t>
      </w:r>
      <w:r>
        <w:t>Avaliação do grau de urgência e do impacto institucional no município.</w:t>
      </w:r>
    </w:p>
    <w:p w14:paraId="782C785C" w14:textId="77777777" w:rsidR="00270008" w:rsidRDefault="00000000">
      <w:pPr>
        <w:pStyle w:val="PargrafodaLista"/>
        <w:numPr>
          <w:ilvl w:val="0"/>
          <w:numId w:val="6"/>
        </w:numPr>
        <w:spacing w:after="100" w:line="280" w:lineRule="auto"/>
      </w:pPr>
      <w:r>
        <w:rPr>
          <w:b/>
          <w:bCs/>
        </w:rPr>
        <w:t xml:space="preserve">Visão Técnica (BA): </w:t>
      </w:r>
      <w:r>
        <w:t>Diagnóstico formalizado na tela Acompanhamento CRM (#TK090), validando se o problema possui natureza estrutural ou se consiste em dúvida operacional.</w:t>
      </w:r>
    </w:p>
    <w:p w14:paraId="5D1265F8" w14:textId="77777777" w:rsidR="00270008" w:rsidRDefault="00000000">
      <w:pPr>
        <w:pStyle w:val="PargrafodaLista"/>
        <w:numPr>
          <w:ilvl w:val="0"/>
          <w:numId w:val="6"/>
        </w:numPr>
        <w:spacing w:after="100" w:line="280" w:lineRule="auto"/>
      </w:pPr>
      <w:r>
        <w:rPr>
          <w:b/>
          <w:bCs/>
        </w:rPr>
        <w:t xml:space="preserve">Filtro de Detratores: </w:t>
      </w:r>
      <w:r>
        <w:t>Caso o consenso identifique que a crise é motivada por Detratores Ativos (questões políticas locais), o GPH não será acionado. O caso será direcionado para o acolhimento diplomático do CRM.</w:t>
      </w:r>
    </w:p>
    <w:p w14:paraId="25DEC15F" w14:textId="77777777" w:rsidR="00270008" w:rsidRDefault="00000000">
      <w:pPr>
        <w:pStyle w:val="Ttulo2"/>
        <w:spacing w:before="320" w:after="140"/>
      </w:pPr>
      <w:r>
        <w:rPr>
          <w:b/>
          <w:bCs/>
          <w:color w:val="1F3864"/>
          <w:sz w:val="24"/>
          <w:szCs w:val="24"/>
        </w:rPr>
        <w:t>5.2 Seleção Estratégica e Proteção à Base</w:t>
      </w:r>
    </w:p>
    <w:p w14:paraId="6DAD3107" w14:textId="77777777" w:rsidR="00270008" w:rsidRDefault="00000000">
      <w:pPr>
        <w:pStyle w:val="PargrafodaLista"/>
        <w:numPr>
          <w:ilvl w:val="0"/>
          <w:numId w:val="2"/>
        </w:numPr>
        <w:spacing w:after="100" w:line="280" w:lineRule="auto"/>
      </w:pPr>
      <w:r>
        <w:rPr>
          <w:b/>
          <w:bCs/>
        </w:rPr>
        <w:t xml:space="preserve">Senioridade Técnica (Mandatório): </w:t>
      </w:r>
      <w:r>
        <w:t>Domínio avançado e comprovado do ecossistema do ERP Centi.</w:t>
      </w:r>
    </w:p>
    <w:p w14:paraId="283EB961" w14:textId="77777777" w:rsidR="00270008" w:rsidRDefault="00000000">
      <w:pPr>
        <w:pStyle w:val="PargrafodaLista"/>
        <w:numPr>
          <w:ilvl w:val="0"/>
          <w:numId w:val="2"/>
        </w:numPr>
        <w:spacing w:after="100" w:line="280" w:lineRule="auto"/>
      </w:pPr>
      <w:r>
        <w:rPr>
          <w:b/>
          <w:bCs/>
        </w:rPr>
        <w:t xml:space="preserve">Proteção à Base (Mandatório): </w:t>
      </w:r>
      <w:r>
        <w:t>A seleção de profissionais para o grupo não pode, sob nenhuma hipótese, comprometer a qualidade ou o SLA (Service Level Agreement) de atendimento aos clientes já consolidados.</w:t>
      </w:r>
    </w:p>
    <w:p w14:paraId="095A7E02" w14:textId="77777777" w:rsidR="00270008" w:rsidRDefault="00000000">
      <w:pPr>
        <w:pStyle w:val="Ttulo2"/>
        <w:spacing w:before="320" w:after="140"/>
      </w:pPr>
      <w:r>
        <w:rPr>
          <w:b/>
          <w:bCs/>
          <w:color w:val="1F3864"/>
          <w:sz w:val="24"/>
          <w:szCs w:val="24"/>
        </w:rPr>
        <w:lastRenderedPageBreak/>
        <w:t>5.3 Ciclo de Atuação Ágil (Baseado em Intervenção)</w:t>
      </w:r>
    </w:p>
    <w:p w14:paraId="6FA0B5F1" w14:textId="77777777" w:rsidR="00270008" w:rsidRDefault="00000000">
      <w:pPr>
        <w:spacing w:after="160" w:line="300" w:lineRule="auto"/>
        <w:jc w:val="both"/>
      </w:pPr>
      <w:r>
        <w:t>Após o disparo do gatilho de ativação, o ciclo de atuação do GPH obedecerá à seguinte cronologia de esforço:</w:t>
      </w:r>
    </w:p>
    <w:p w14:paraId="0370C6A1" w14:textId="77777777" w:rsidR="00270008" w:rsidRDefault="00000000">
      <w:pPr>
        <w:pStyle w:val="PargrafodaLista"/>
        <w:numPr>
          <w:ilvl w:val="0"/>
          <w:numId w:val="7"/>
        </w:numPr>
        <w:spacing w:after="100" w:line="280" w:lineRule="auto"/>
      </w:pPr>
      <w:r>
        <w:rPr>
          <w:b/>
          <w:bCs/>
        </w:rPr>
        <w:t xml:space="preserve">Imersão Tática (Gatilho + 48h): </w:t>
      </w:r>
      <w:r>
        <w:t>A equipe do GPH realiza o estudo acelerado do caso através da tela #TK059, sob a mentoria direta do BA.</w:t>
      </w:r>
    </w:p>
    <w:p w14:paraId="1880CD81" w14:textId="77777777" w:rsidR="00270008" w:rsidRDefault="00000000">
      <w:pPr>
        <w:pStyle w:val="PargrafodaLista"/>
        <w:numPr>
          <w:ilvl w:val="0"/>
          <w:numId w:val="7"/>
        </w:numPr>
        <w:spacing w:after="100" w:line="280" w:lineRule="auto"/>
      </w:pPr>
      <w:r>
        <w:rPr>
          <w:b/>
          <w:bCs/>
        </w:rPr>
        <w:t xml:space="preserve">Operação Assistida de Estabilização: </w:t>
      </w:r>
      <w:r>
        <w:t>O GPH assume a linha de frente por um ciclo de até 20 dias corridos, focando estritamente na resolução dos gargalos apontados pelo BA.</w:t>
      </w:r>
    </w:p>
    <w:p w14:paraId="20589E7D" w14:textId="77777777" w:rsidR="00270008" w:rsidRDefault="00000000">
      <w:pPr>
        <w:pStyle w:val="PargrafodaLista"/>
        <w:numPr>
          <w:ilvl w:val="0"/>
          <w:numId w:val="7"/>
        </w:numPr>
        <w:spacing w:after="100" w:line="280" w:lineRule="auto"/>
      </w:pPr>
      <w:r>
        <w:rPr>
          <w:b/>
          <w:bCs/>
        </w:rPr>
        <w:t xml:space="preserve">Auditoria de Saída: </w:t>
      </w:r>
      <w:r>
        <w:t>Ao término do ciclo, a equipe de QA avalia a eficiência. Atestado o equilíbrio operacional, encerra-se a atuação do GPH e inicia-se o ciclo da Bridge.</w:t>
      </w:r>
    </w:p>
    <w:p w14:paraId="02C4E5F9" w14:textId="77777777" w:rsidR="00270008" w:rsidRDefault="00000000">
      <w:pPr>
        <w:pStyle w:val="Ttulo2"/>
        <w:spacing w:before="320" w:after="140"/>
      </w:pPr>
      <w:r>
        <w:rPr>
          <w:b/>
          <w:bCs/>
          <w:color w:val="1F3864"/>
          <w:sz w:val="24"/>
          <w:szCs w:val="24"/>
        </w:rPr>
        <w:t>5.4 Da Caducidade do GPH por Falta de Adjacência Operacional</w:t>
      </w:r>
    </w:p>
    <w:p w14:paraId="56B73CA6" w14:textId="77777777" w:rsidR="00270008" w:rsidRDefault="00000000">
      <w:pPr>
        <w:pStyle w:val="PargrafodaLista"/>
        <w:numPr>
          <w:ilvl w:val="0"/>
          <w:numId w:val="8"/>
        </w:numPr>
        <w:spacing w:after="100" w:line="280" w:lineRule="auto"/>
      </w:pPr>
      <w:r>
        <w:rPr>
          <w:b/>
          <w:bCs/>
        </w:rPr>
        <w:t xml:space="preserve">Premissa de Cooperação: </w:t>
      </w:r>
      <w:r>
        <w:t>O ciclo do GPH pressupõe cooperação total, irrestrita e imediata por parte do Município.</w:t>
      </w:r>
    </w:p>
    <w:p w14:paraId="4E9E992D" w14:textId="77777777" w:rsidR="00270008" w:rsidRDefault="00000000">
      <w:pPr>
        <w:pStyle w:val="PargrafodaLista"/>
        <w:numPr>
          <w:ilvl w:val="0"/>
          <w:numId w:val="8"/>
        </w:numPr>
        <w:spacing w:after="100" w:line="280" w:lineRule="auto"/>
      </w:pPr>
      <w:r>
        <w:rPr>
          <w:b/>
          <w:bCs/>
        </w:rPr>
        <w:t xml:space="preserve">Gatilho de Caducidade: </w:t>
      </w:r>
      <w:r>
        <w:t>Caso o Município apresente resistência ou impeça de forma prática a atuação da equipe assistida por mais de 3 dias úteis consecutivos, o DC poderá decretar a Caducidade do GPH, desmobilizando a equipe.</w:t>
      </w:r>
    </w:p>
    <w:p w14:paraId="35674145" w14:textId="77777777" w:rsidR="00270008" w:rsidRDefault="00000000">
      <w:pPr>
        <w:pStyle w:val="PargrafodaLista"/>
        <w:numPr>
          <w:ilvl w:val="0"/>
          <w:numId w:val="8"/>
        </w:numPr>
        <w:spacing w:after="100" w:line="280" w:lineRule="auto"/>
      </w:pPr>
      <w:r>
        <w:rPr>
          <w:b/>
          <w:bCs/>
        </w:rPr>
        <w:t xml:space="preserve">Efeito Operacional: </w:t>
      </w:r>
      <w:r>
        <w:t>O projeto retornará ao status de "Aguardando Prontidão" e o caso será escalado para o Nível 4 para repactuação das metas.</w:t>
      </w:r>
    </w:p>
    <w:p w14:paraId="553FB973" w14:textId="77777777" w:rsidR="00270008" w:rsidRDefault="00000000">
      <w:pPr>
        <w:pStyle w:val="Ttulo1"/>
        <w:pBdr>
          <w:bottom w:val="single" w:sz="8" w:space="4" w:color="1F3864"/>
        </w:pBdr>
        <w:spacing w:before="480" w:after="200"/>
      </w:pPr>
      <w:r>
        <w:rPr>
          <w:b/>
          <w:bCs/>
          <w:color w:val="1F3864"/>
          <w:sz w:val="30"/>
          <w:szCs w:val="30"/>
        </w:rPr>
        <w:t>6. Dinâmica Operacional do CRM-Bridge e Articulação Interna</w:t>
      </w:r>
    </w:p>
    <w:p w14:paraId="08BA5243" w14:textId="77777777" w:rsidR="00270008" w:rsidRDefault="00000000">
      <w:pPr>
        <w:pStyle w:val="Ttulo2"/>
        <w:spacing w:before="320" w:after="140"/>
      </w:pPr>
      <w:r>
        <w:rPr>
          <w:b/>
          <w:bCs/>
          <w:color w:val="1F3864"/>
          <w:sz w:val="24"/>
          <w:szCs w:val="24"/>
        </w:rPr>
        <w:t>6.1 O Protocolo de Urgência Visível</w:t>
      </w:r>
    </w:p>
    <w:p w14:paraId="6EF293E0" w14:textId="77777777" w:rsidR="00270008" w:rsidRDefault="00000000">
      <w:pPr>
        <w:spacing w:after="160" w:line="300" w:lineRule="auto"/>
        <w:jc w:val="both"/>
      </w:pPr>
      <w:r>
        <w:t>Confirmada a real necessidade de intervenção por parte da Bridge ou do GPH, o fluxo seguirá o rito abaixo:</w:t>
      </w:r>
    </w:p>
    <w:p w14:paraId="6B1FF9C6" w14:textId="77777777" w:rsidR="00270008" w:rsidRDefault="00000000">
      <w:pPr>
        <w:pStyle w:val="PargrafodaLista"/>
        <w:numPr>
          <w:ilvl w:val="0"/>
          <w:numId w:val="9"/>
        </w:numPr>
        <w:spacing w:after="100" w:line="280" w:lineRule="auto"/>
      </w:pPr>
      <w:r>
        <w:t>O BA formaliza o diagnóstico técnico na tela Acompanhamento CRM (#TK090).</w:t>
      </w:r>
    </w:p>
    <w:p w14:paraId="44BE1571" w14:textId="77777777" w:rsidR="00270008" w:rsidRDefault="00000000">
      <w:pPr>
        <w:pStyle w:val="PargrafodaLista"/>
        <w:numPr>
          <w:ilvl w:val="0"/>
          <w:numId w:val="9"/>
        </w:numPr>
        <w:spacing w:after="100" w:line="280" w:lineRule="auto"/>
      </w:pPr>
      <w:r>
        <w:t>O registro gera automaticamente a abertura de um Ticket de Alta Prioridade direcionado ao Especialista responsável.</w:t>
      </w:r>
    </w:p>
    <w:p w14:paraId="4B497B46" w14:textId="77777777" w:rsidR="00270008" w:rsidRDefault="00000000">
      <w:pPr>
        <w:pStyle w:val="PargrafodaLista"/>
        <w:numPr>
          <w:ilvl w:val="0"/>
          <w:numId w:val="9"/>
        </w:numPr>
        <w:spacing w:after="100" w:line="280" w:lineRule="auto"/>
      </w:pPr>
      <w:r>
        <w:t>A urgência torna-se imediatamente visível nos Dashboards de Gestão (Cockpit CRM #TK102) para o monitoramento contínuo dos gestores.</w:t>
      </w:r>
    </w:p>
    <w:p w14:paraId="5D0B037F" w14:textId="77777777" w:rsidR="00270008" w:rsidRDefault="00000000">
      <w:pPr>
        <w:pStyle w:val="Ttulo2"/>
        <w:spacing w:before="320" w:after="140"/>
      </w:pPr>
      <w:r>
        <w:rPr>
          <w:b/>
          <w:bCs/>
          <w:color w:val="1F3864"/>
          <w:sz w:val="24"/>
          <w:szCs w:val="24"/>
        </w:rPr>
        <w:t>6.2 Janela de Transição e Desmame (Ciclo Bridge)</w:t>
      </w:r>
    </w:p>
    <w:p w14:paraId="0A91FB87" w14:textId="77777777" w:rsidR="00270008" w:rsidRDefault="00000000">
      <w:pPr>
        <w:spacing w:after="160" w:line="300" w:lineRule="auto"/>
        <w:jc w:val="both"/>
      </w:pPr>
      <w:r>
        <w:t>A responsabilidade operacional da Bridge inicia-se imediatamente após a saída do GPH ou no marco D+0 (caso o GPH não tenha sido acionado). Este ciclo compreende 20 dias corridos de suporte personalizado e diplomático, desenhado especificamente para transferir a confiança do cliente para a estrutura de suporte regular da empresa.</w:t>
      </w:r>
    </w:p>
    <w:p w14:paraId="1D6B1C19" w14:textId="77777777" w:rsidR="00270008" w:rsidRDefault="00000000">
      <w:pPr>
        <w:pStyle w:val="Ttulo1"/>
        <w:pBdr>
          <w:bottom w:val="single" w:sz="8" w:space="4" w:color="1F3864"/>
        </w:pBdr>
        <w:spacing w:before="480" w:after="200"/>
      </w:pPr>
      <w:r>
        <w:rPr>
          <w:b/>
          <w:bCs/>
          <w:color w:val="1F3864"/>
          <w:sz w:val="30"/>
          <w:szCs w:val="30"/>
        </w:rPr>
        <w:t>7. Fase IV: Entrega Final e Fidelização (O Rito de Passagem)</w:t>
      </w:r>
    </w:p>
    <w:p w14:paraId="3121AB72" w14:textId="77777777" w:rsidR="00270008" w:rsidRDefault="00000000">
      <w:pPr>
        <w:pStyle w:val="Ttulo2"/>
        <w:spacing w:before="320" w:after="140"/>
      </w:pPr>
      <w:r>
        <w:rPr>
          <w:b/>
          <w:bCs/>
          <w:color w:val="1F3864"/>
          <w:sz w:val="24"/>
          <w:szCs w:val="24"/>
        </w:rPr>
        <w:t>7.1 Dos Critérios Inegociáveis de Prontidão (Check-out de Projeto)</w:t>
      </w:r>
    </w:p>
    <w:p w14:paraId="73BB0F60" w14:textId="77777777" w:rsidR="00270008" w:rsidRDefault="00000000">
      <w:pPr>
        <w:spacing w:after="160" w:line="300" w:lineRule="auto"/>
        <w:jc w:val="both"/>
      </w:pPr>
      <w:r>
        <w:t>Para que o projeto seja elegível ao rito de Handover, o Líder de Implantação deve assegurar a evidência documental na #TK059 dos seguintes marcos:</w:t>
      </w:r>
    </w:p>
    <w:p w14:paraId="6A49C358" w14:textId="77777777" w:rsidR="00270008" w:rsidRDefault="00000000">
      <w:pPr>
        <w:pStyle w:val="PargrafodaLista"/>
        <w:numPr>
          <w:ilvl w:val="0"/>
          <w:numId w:val="2"/>
        </w:numPr>
        <w:spacing w:after="100" w:line="280" w:lineRule="auto"/>
      </w:pPr>
      <w:r>
        <w:rPr>
          <w:b/>
          <w:bCs/>
        </w:rPr>
        <w:lastRenderedPageBreak/>
        <w:t xml:space="preserve">7.1.1. Soberania do Saldo Inicial (Saneamento): </w:t>
      </w:r>
      <w:r>
        <w:t>Validação integral dos saldos iniciais (Contábil, Financeiro e Almoxarifado) pelo Município, formalizada pelo Termo de Aceite de Migração via CentiSign, garantindo a blindagem jurídica da Centi sobre dados legados.</w:t>
      </w:r>
    </w:p>
    <w:p w14:paraId="2AD7EF58" w14:textId="77777777" w:rsidR="00270008" w:rsidRDefault="00000000">
      <w:pPr>
        <w:pStyle w:val="PargrafodaLista"/>
        <w:numPr>
          <w:ilvl w:val="0"/>
          <w:numId w:val="2"/>
        </w:numPr>
        <w:spacing w:after="100" w:line="280" w:lineRule="auto"/>
      </w:pPr>
      <w:r>
        <w:rPr>
          <w:b/>
          <w:bCs/>
        </w:rPr>
        <w:t xml:space="preserve">7.1.2. Certificação de Autonomia: </w:t>
      </w:r>
      <w:r>
        <w:t>Registro na aba Checklist da #TK059 atestando que os usuários-chave executaram os ritos críticos de forma autônoma, eliminando a dependência técnica da equipe de campo.</w:t>
      </w:r>
    </w:p>
    <w:p w14:paraId="3905DDC8" w14:textId="77777777" w:rsidR="00270008" w:rsidRDefault="00000000">
      <w:pPr>
        <w:pStyle w:val="PargrafodaLista"/>
        <w:numPr>
          <w:ilvl w:val="0"/>
          <w:numId w:val="2"/>
        </w:numPr>
        <w:spacing w:after="100" w:line="280" w:lineRule="auto"/>
      </w:pPr>
      <w:r>
        <w:rPr>
          <w:b/>
          <w:bCs/>
        </w:rPr>
        <w:t xml:space="preserve">7.1.3. Ativação do Ecossistema de Transparência: </w:t>
      </w:r>
      <w:r>
        <w:t>Confirmação da funcionalidade do Portal da Transparência e a evidência da primeira transmissão bem-sucedida ao PNCP, protegendo a gestão municipal de sanções legais.</w:t>
      </w:r>
    </w:p>
    <w:p w14:paraId="311A2131" w14:textId="77777777" w:rsidR="00270008" w:rsidRDefault="00000000">
      <w:pPr>
        <w:pStyle w:val="PargrafodaLista"/>
        <w:numPr>
          <w:ilvl w:val="0"/>
          <w:numId w:val="2"/>
        </w:numPr>
        <w:spacing w:after="100" w:line="280" w:lineRule="auto"/>
      </w:pPr>
      <w:r>
        <w:rPr>
          <w:b/>
          <w:bCs/>
        </w:rPr>
        <w:t xml:space="preserve">7.1.4. Consolidação da Wiki do Cliente: </w:t>
      </w:r>
      <w:r>
        <w:t>Finalização do histórico técnico e particularidades na aba Observação da #TK059, com a devida revisão e estruturação realizada pelo Vicenti IA para consulta permanente do Suporte e CRM-Bridge.</w:t>
      </w:r>
    </w:p>
    <w:p w14:paraId="52781EFB" w14:textId="77777777" w:rsidR="00270008" w:rsidRDefault="00000000">
      <w:pPr>
        <w:pStyle w:val="Ttulo2"/>
        <w:spacing w:before="320" w:after="140"/>
      </w:pPr>
      <w:r>
        <w:rPr>
          <w:b/>
          <w:bCs/>
          <w:color w:val="1F3864"/>
          <w:sz w:val="24"/>
          <w:szCs w:val="24"/>
        </w:rPr>
        <w:t>7.2 Handover e Ata de Prontidão Operacional</w:t>
      </w:r>
    </w:p>
    <w:p w14:paraId="65495647" w14:textId="77777777" w:rsidR="00270008" w:rsidRDefault="00000000">
      <w:pPr>
        <w:pStyle w:val="PargrafodaLista"/>
        <w:numPr>
          <w:ilvl w:val="0"/>
          <w:numId w:val="2"/>
        </w:numPr>
        <w:spacing w:after="100" w:line="280" w:lineRule="auto"/>
      </w:pPr>
      <w:r>
        <w:rPr>
          <w:b/>
          <w:bCs/>
        </w:rPr>
        <w:t xml:space="preserve">Rito Final: </w:t>
      </w:r>
      <w:r>
        <w:t>Consiste na transição técnica definitiva para a estrutura de atendimento regular.</w:t>
      </w:r>
    </w:p>
    <w:p w14:paraId="497FCC7E" w14:textId="77777777" w:rsidR="00270008" w:rsidRDefault="00000000">
      <w:pPr>
        <w:pStyle w:val="PargrafodaLista"/>
        <w:numPr>
          <w:ilvl w:val="0"/>
          <w:numId w:val="2"/>
        </w:numPr>
        <w:spacing w:after="100" w:line="280" w:lineRule="auto"/>
      </w:pPr>
      <w:r>
        <w:rPr>
          <w:b/>
          <w:bCs/>
        </w:rPr>
        <w:t xml:space="preserve">Formalização: </w:t>
      </w:r>
      <w:r>
        <w:t>O Líder de Implantação, a Bridge e o CRM lavram a Ata de Prontidão diretamente na tela #TK059, consolidando todas as evidências de Módulos implantados, Treinamentos realizados e Servidores Efetivamente Capacitados.</w:t>
      </w:r>
    </w:p>
    <w:p w14:paraId="46D4CA6D" w14:textId="77777777" w:rsidR="00270008" w:rsidRDefault="00000000">
      <w:pPr>
        <w:pStyle w:val="Ttulo2"/>
        <w:spacing w:before="320" w:after="140"/>
      </w:pPr>
      <w:r>
        <w:rPr>
          <w:b/>
          <w:bCs/>
          <w:color w:val="1F3864"/>
          <w:sz w:val="24"/>
          <w:szCs w:val="24"/>
        </w:rPr>
        <w:t>7.3 Programa de Certificação "Município Digital"</w:t>
      </w:r>
    </w:p>
    <w:p w14:paraId="6C668A77" w14:textId="77777777" w:rsidR="00270008" w:rsidRDefault="00000000">
      <w:pPr>
        <w:pStyle w:val="PargrafodaLista"/>
        <w:numPr>
          <w:ilvl w:val="0"/>
          <w:numId w:val="2"/>
        </w:numPr>
        <w:spacing w:after="100" w:line="280" w:lineRule="auto"/>
      </w:pPr>
      <w:r>
        <w:rPr>
          <w:b/>
          <w:bCs/>
        </w:rPr>
        <w:t xml:space="preserve">Reconhecimento Coletivo: </w:t>
      </w:r>
      <w:r>
        <w:t>Entrega solene do selo "Município Digital" ao Prefeito Municipal e emissão dos certificados de "Agente de Transformação Digital" aos servidores públicos operacionais.</w:t>
      </w:r>
    </w:p>
    <w:p w14:paraId="34DAF363" w14:textId="77777777" w:rsidR="00270008" w:rsidRDefault="00000000">
      <w:pPr>
        <w:pStyle w:val="PargrafodaLista"/>
        <w:numPr>
          <w:ilvl w:val="0"/>
          <w:numId w:val="2"/>
        </w:numPr>
        <w:spacing w:after="100" w:line="280" w:lineRule="auto"/>
      </w:pPr>
      <w:r>
        <w:rPr>
          <w:b/>
          <w:bCs/>
        </w:rPr>
        <w:t xml:space="preserve">Objetivo de Fidelização: </w:t>
      </w:r>
      <w:r>
        <w:t>Transformar a jornada técnica de implantação em um marco de prestígio político e valorização profissional para a gestão local.</w:t>
      </w:r>
    </w:p>
    <w:p w14:paraId="4EB7F60E" w14:textId="77777777" w:rsidR="00270008" w:rsidRDefault="00000000">
      <w:pPr>
        <w:pStyle w:val="Ttulo1"/>
        <w:pBdr>
          <w:bottom w:val="single" w:sz="8" w:space="4" w:color="1F3864"/>
        </w:pBdr>
        <w:spacing w:before="480" w:after="200"/>
      </w:pPr>
      <w:r>
        <w:rPr>
          <w:b/>
          <w:bCs/>
          <w:color w:val="1F3864"/>
          <w:sz w:val="30"/>
          <w:szCs w:val="30"/>
        </w:rPr>
        <w:t>8. Matriz de Escalonamento e Segurança Operacional</w:t>
      </w:r>
    </w:p>
    <w:p w14:paraId="02674FCE" w14:textId="77777777" w:rsidR="00270008" w:rsidRDefault="00000000">
      <w:pPr>
        <w:spacing w:after="160" w:line="300" w:lineRule="auto"/>
        <w:jc w:val="both"/>
      </w:pPr>
      <w:r>
        <w:t>O fluxo de atendimento e governança respeitará a seguinte ordem de precedência:</w:t>
      </w:r>
    </w:p>
    <w:p w14:paraId="506D47B5" w14:textId="77777777" w:rsidR="00270008" w:rsidRDefault="00000000">
      <w:pPr>
        <w:pStyle w:val="PargrafodaLista"/>
        <w:numPr>
          <w:ilvl w:val="0"/>
          <w:numId w:val="10"/>
        </w:numPr>
        <w:spacing w:after="100" w:line="280" w:lineRule="auto"/>
      </w:pPr>
      <w:r>
        <w:rPr>
          <w:b/>
          <w:bCs/>
        </w:rPr>
        <w:t xml:space="preserve">Nível 1 — Triagem: </w:t>
      </w:r>
      <w:r>
        <w:t>Triagem automatizada e primeira resposta via Inteligência Artificial (Vicenti).</w:t>
      </w:r>
    </w:p>
    <w:p w14:paraId="0B64DB9A" w14:textId="77777777" w:rsidR="00270008" w:rsidRDefault="00000000">
      <w:pPr>
        <w:pStyle w:val="PargrafodaLista"/>
        <w:numPr>
          <w:ilvl w:val="0"/>
          <w:numId w:val="10"/>
        </w:numPr>
        <w:spacing w:after="100" w:line="280" w:lineRule="auto"/>
      </w:pPr>
      <w:r>
        <w:rPr>
          <w:b/>
          <w:bCs/>
        </w:rPr>
        <w:t xml:space="preserve">Nível 2 — Service Desk Operacional: </w:t>
      </w:r>
      <w:r>
        <w:t>Atendimento humano inicial para chamados e dúvidas de rotina.</w:t>
      </w:r>
    </w:p>
    <w:p w14:paraId="37495C31" w14:textId="77777777" w:rsidR="00270008" w:rsidRDefault="00000000">
      <w:pPr>
        <w:pStyle w:val="PargrafodaLista"/>
        <w:numPr>
          <w:ilvl w:val="0"/>
          <w:numId w:val="10"/>
        </w:numPr>
        <w:spacing w:after="100" w:line="280" w:lineRule="auto"/>
      </w:pPr>
      <w:r>
        <w:rPr>
          <w:b/>
          <w:bCs/>
        </w:rPr>
        <w:t xml:space="preserve">Nível 3 — QA / Governança e Normatização Técnica: </w:t>
      </w:r>
      <w:r>
        <w:t>Auditoria de conformidade na tela #TK059, validação normativa e garantia da segurança jurídica do projeto. Atua como a Célula de Inteligência Processual.</w:t>
      </w:r>
    </w:p>
    <w:p w14:paraId="146294F3" w14:textId="77777777" w:rsidR="00270008" w:rsidRDefault="00000000">
      <w:pPr>
        <w:pStyle w:val="PargrafodaLista"/>
        <w:numPr>
          <w:ilvl w:val="0"/>
          <w:numId w:val="10"/>
        </w:numPr>
        <w:spacing w:after="100" w:line="280" w:lineRule="auto"/>
      </w:pPr>
      <w:r>
        <w:rPr>
          <w:b/>
          <w:bCs/>
        </w:rPr>
        <w:t xml:space="preserve">Nível 4 — Decisão Estratégica e Comercial: </w:t>
      </w:r>
      <w:r>
        <w:t>Instância integrada pelas equipes de BAs e pelo próprio CRM para mediação de conflitos e repactuações.</w:t>
      </w:r>
    </w:p>
    <w:p w14:paraId="24F8FD41" w14:textId="24F8144E" w:rsidR="00270008" w:rsidRDefault="00000000">
      <w:pPr>
        <w:pStyle w:val="PargrafodaLista"/>
        <w:numPr>
          <w:ilvl w:val="0"/>
          <w:numId w:val="10"/>
        </w:numPr>
        <w:spacing w:after="100" w:line="280" w:lineRule="auto"/>
      </w:pPr>
      <w:r>
        <w:rPr>
          <w:b/>
          <w:bCs/>
        </w:rPr>
        <w:t xml:space="preserve">Nível 5 — Coordenação Executiva: </w:t>
      </w:r>
      <w:r>
        <w:t xml:space="preserve">Instância final de deliberação conduzida diretamente pelo </w:t>
      </w:r>
      <w:r w:rsidR="00CE4296">
        <w:t>Coordenador de Implantação</w:t>
      </w:r>
      <w:r>
        <w:t xml:space="preserve"> (DC).</w:t>
      </w:r>
    </w:p>
    <w:p w14:paraId="7F186B52" w14:textId="77777777" w:rsidR="00270008" w:rsidRDefault="00000000">
      <w:pPr>
        <w:pStyle w:val="Ttulo1"/>
        <w:pBdr>
          <w:bottom w:val="single" w:sz="8" w:space="4" w:color="1F3864"/>
        </w:pBdr>
        <w:spacing w:before="480" w:after="200"/>
      </w:pPr>
      <w:r>
        <w:rPr>
          <w:b/>
          <w:bCs/>
          <w:color w:val="1F3864"/>
          <w:sz w:val="30"/>
          <w:szCs w:val="30"/>
        </w:rPr>
        <w:t>9. "Single Source of Truth"</w:t>
      </w:r>
    </w:p>
    <w:p w14:paraId="66DA1848" w14:textId="77777777" w:rsidR="00270008" w:rsidRDefault="00000000">
      <w:pPr>
        <w:pStyle w:val="PargrafodaLista"/>
        <w:numPr>
          <w:ilvl w:val="0"/>
          <w:numId w:val="2"/>
        </w:numPr>
        <w:spacing w:after="100" w:line="280" w:lineRule="auto"/>
      </w:pPr>
      <w:r>
        <w:rPr>
          <w:b/>
          <w:bCs/>
        </w:rPr>
        <w:lastRenderedPageBreak/>
        <w:t xml:space="preserve">Integridade da Informação: </w:t>
      </w:r>
      <w:r>
        <w:t>A tela #TK059 é consolidada como a única e legítima fonte da verdade (Single Source of Truth). Particularidades, regras de negócio ou acordos que não estejam devidamente registrados nesta aba não serão passíveis de auditoria ou de suporte especializado posterior.</w:t>
      </w:r>
    </w:p>
    <w:p w14:paraId="57E266C9" w14:textId="77777777" w:rsidR="00270008" w:rsidRDefault="00000000">
      <w:pPr>
        <w:pStyle w:val="PargrafodaLista"/>
        <w:numPr>
          <w:ilvl w:val="0"/>
          <w:numId w:val="2"/>
        </w:numPr>
        <w:spacing w:after="100" w:line="280" w:lineRule="auto"/>
      </w:pPr>
      <w:r>
        <w:rPr>
          <w:b/>
          <w:bCs/>
        </w:rPr>
        <w:t xml:space="preserve">Protocolo de Comunicação: </w:t>
      </w:r>
      <w:r>
        <w:t>Valoriza-se a proximidade humana e o bom relacionamento com o cliente, mas prioriza-se a canalização de todas as demandas formais pelos canais oficiais da Centi, garantindo a rastreabilidade e a segurança jurídica de ambas as partes.</w:t>
      </w:r>
    </w:p>
    <w:p w14:paraId="238E04B0" w14:textId="77777777" w:rsidR="00270008" w:rsidRDefault="00000000">
      <w:pPr>
        <w:pStyle w:val="Ttulo1"/>
        <w:pBdr>
          <w:bottom w:val="single" w:sz="8" w:space="4" w:color="1F3864"/>
        </w:pBdr>
        <w:spacing w:before="480" w:after="200"/>
      </w:pPr>
      <w:r>
        <w:rPr>
          <w:b/>
          <w:bCs/>
          <w:color w:val="1F3864"/>
          <w:sz w:val="30"/>
          <w:szCs w:val="30"/>
        </w:rPr>
        <w:t>10. Protocolo Geral de Convocação, Operação e Encerramento do GPH</w:t>
      </w:r>
    </w:p>
    <w:p w14:paraId="1A569B59" w14:textId="77777777" w:rsidR="00270008" w:rsidRDefault="00000000">
      <w:pPr>
        <w:spacing w:after="160" w:line="300" w:lineRule="auto"/>
        <w:jc w:val="both"/>
      </w:pPr>
      <w:r>
        <w:rPr>
          <w:i/>
          <w:iCs/>
          <w:color w:val="595959"/>
        </w:rPr>
        <w:t>Aplicável a todas as implantações padrão da Centi Ltda.</w:t>
      </w:r>
    </w:p>
    <w:p w14:paraId="07925CC8" w14:textId="77777777" w:rsidR="00270008" w:rsidRDefault="00000000">
      <w:pPr>
        <w:pStyle w:val="Ttulo2"/>
        <w:spacing w:before="320" w:after="140"/>
      </w:pPr>
      <w:r>
        <w:rPr>
          <w:b/>
          <w:bCs/>
          <w:color w:val="1F3864"/>
          <w:sz w:val="24"/>
          <w:szCs w:val="24"/>
        </w:rPr>
        <w:t>10.1 Matriz de Responsabilidades e Funções</w:t>
      </w:r>
    </w:p>
    <w:p w14:paraId="14FE2805" w14:textId="77777777" w:rsidR="00270008" w:rsidRDefault="00000000">
      <w:pPr>
        <w:spacing w:after="160" w:line="300" w:lineRule="auto"/>
        <w:jc w:val="both"/>
      </w:pPr>
      <w:r>
        <w:t>Para cada acionamento do GPH em migrações comuns de mercado, as seguintes funções atuam de forma coordenada, respeitando as responsabilidades do ecossistema: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9"/>
        <w:gridCol w:w="7279"/>
      </w:tblGrid>
      <w:tr w:rsidR="00270008" w14:paraId="7936AF53" w14:textId="77777777">
        <w:trPr>
          <w:tblHeader/>
        </w:trPr>
        <w:tc>
          <w:tcPr>
            <w:tcW w:w="2400" w:type="dxa"/>
            <w:shd w:val="clear" w:color="auto" w:fill="1F3864"/>
            <w:tcMar>
              <w:top w:w="100" w:type="dxa"/>
              <w:left w:w="150" w:type="dxa"/>
              <w:bottom w:w="100" w:type="dxa"/>
              <w:right w:w="150" w:type="dxa"/>
            </w:tcMar>
          </w:tcPr>
          <w:p w14:paraId="7552069A" w14:textId="77777777" w:rsidR="00270008" w:rsidRDefault="00000000">
            <w:r>
              <w:rPr>
                <w:b/>
                <w:bCs/>
                <w:color w:val="FFFFFF"/>
                <w:sz w:val="20"/>
                <w:szCs w:val="20"/>
              </w:rPr>
              <w:t>Função</w:t>
            </w:r>
          </w:p>
        </w:tc>
        <w:tc>
          <w:tcPr>
            <w:tcW w:w="7600" w:type="dxa"/>
            <w:shd w:val="clear" w:color="auto" w:fill="1F3864"/>
            <w:tcMar>
              <w:top w:w="100" w:type="dxa"/>
              <w:left w:w="150" w:type="dxa"/>
              <w:bottom w:w="100" w:type="dxa"/>
              <w:right w:w="150" w:type="dxa"/>
            </w:tcMar>
          </w:tcPr>
          <w:p w14:paraId="66D44A63" w14:textId="77777777" w:rsidR="00270008" w:rsidRDefault="00000000">
            <w:r>
              <w:rPr>
                <w:b/>
                <w:bCs/>
                <w:color w:val="FFFFFF"/>
                <w:sz w:val="20"/>
                <w:szCs w:val="20"/>
              </w:rPr>
              <w:t>Responsabilidade</w:t>
            </w:r>
          </w:p>
        </w:tc>
      </w:tr>
      <w:tr w:rsidR="00270008" w14:paraId="3E647484" w14:textId="77777777">
        <w:tc>
          <w:tcPr>
            <w:tcW w:w="2400" w:type="dxa"/>
            <w:shd w:val="clear" w:color="auto" w:fill="FFFFFF"/>
            <w:tcMar>
              <w:top w:w="100" w:type="dxa"/>
              <w:left w:w="150" w:type="dxa"/>
              <w:bottom w:w="100" w:type="dxa"/>
              <w:right w:w="150" w:type="dxa"/>
            </w:tcMar>
          </w:tcPr>
          <w:p w14:paraId="41F0EA8E" w14:textId="77777777" w:rsidR="00270008" w:rsidRDefault="00000000">
            <w:r>
              <w:rPr>
                <w:b/>
                <w:bCs/>
                <w:color w:val="1F3864"/>
                <w:sz w:val="20"/>
                <w:szCs w:val="20"/>
              </w:rPr>
              <w:t>CRM – Comercial (O Primeiro Filtro / Gatekeeper)</w:t>
            </w:r>
          </w:p>
        </w:tc>
        <w:tc>
          <w:tcPr>
            <w:tcW w:w="7600" w:type="dxa"/>
            <w:shd w:val="clear" w:color="auto" w:fill="FFFFFF"/>
            <w:tcMar>
              <w:top w:w="100" w:type="dxa"/>
              <w:left w:w="150" w:type="dxa"/>
              <w:bottom w:w="100" w:type="dxa"/>
              <w:right w:w="150" w:type="dxa"/>
            </w:tcMar>
          </w:tcPr>
          <w:p w14:paraId="52631689" w14:textId="77777777" w:rsidR="00270008" w:rsidRDefault="00000000">
            <w:r>
              <w:rPr>
                <w:sz w:val="20"/>
                <w:szCs w:val="20"/>
              </w:rPr>
              <w:t>Ponto de contato direto do Prefeito e Secretários. Responsável por acolher a insatisfação do alto escalão, alinhar as expectativas institucionais e realizar a triagem inicial, separando o ruído político de demandas técnicas reais.</w:t>
            </w:r>
          </w:p>
        </w:tc>
      </w:tr>
      <w:tr w:rsidR="00270008" w14:paraId="2E946238" w14:textId="77777777">
        <w:tc>
          <w:tcPr>
            <w:tcW w:w="2400" w:type="dxa"/>
            <w:shd w:val="clear" w:color="auto" w:fill="F2F2F2"/>
            <w:tcMar>
              <w:top w:w="100" w:type="dxa"/>
              <w:left w:w="150" w:type="dxa"/>
              <w:bottom w:w="100" w:type="dxa"/>
              <w:right w:w="150" w:type="dxa"/>
            </w:tcMar>
          </w:tcPr>
          <w:p w14:paraId="2ED6B143" w14:textId="23C01F5D" w:rsidR="00270008" w:rsidRDefault="00000000">
            <w:r>
              <w:rPr>
                <w:b/>
                <w:bCs/>
                <w:color w:val="1F3864"/>
                <w:sz w:val="20"/>
                <w:szCs w:val="20"/>
              </w:rPr>
              <w:t xml:space="preserve">DC – </w:t>
            </w:r>
            <w:r w:rsidR="00CE4296" w:rsidRPr="00CE4296">
              <w:rPr>
                <w:color w:val="153D63" w:themeColor="text2" w:themeTint="E6"/>
              </w:rPr>
              <w:t>Coordenador de Implantação</w:t>
            </w:r>
          </w:p>
        </w:tc>
        <w:tc>
          <w:tcPr>
            <w:tcW w:w="7600" w:type="dxa"/>
            <w:shd w:val="clear" w:color="auto" w:fill="F2F2F2"/>
            <w:tcMar>
              <w:top w:w="100" w:type="dxa"/>
              <w:left w:w="150" w:type="dxa"/>
              <w:bottom w:w="100" w:type="dxa"/>
              <w:right w:w="150" w:type="dxa"/>
            </w:tcMar>
          </w:tcPr>
          <w:p w14:paraId="7D5B31DA" w14:textId="77777777" w:rsidR="00270008" w:rsidRDefault="00000000">
            <w:r>
              <w:rPr>
                <w:sz w:val="20"/>
                <w:szCs w:val="20"/>
              </w:rPr>
              <w:t>Orquestrador macro do processo. Recebe o alerta validado pelo CRM, avalia a viabilidade da equipe com foco na Proteção à Base, emite formalmente a Ordem de Convocação do GPH e assina a homologação de encerramento.</w:t>
            </w:r>
          </w:p>
        </w:tc>
      </w:tr>
      <w:tr w:rsidR="00270008" w:rsidRPr="00CE4296" w14:paraId="5F3EF376" w14:textId="77777777">
        <w:tc>
          <w:tcPr>
            <w:tcW w:w="2400" w:type="dxa"/>
            <w:shd w:val="clear" w:color="auto" w:fill="FFFFFF"/>
            <w:tcMar>
              <w:top w:w="100" w:type="dxa"/>
              <w:left w:w="150" w:type="dxa"/>
              <w:bottom w:w="100" w:type="dxa"/>
              <w:right w:w="150" w:type="dxa"/>
            </w:tcMar>
          </w:tcPr>
          <w:p w14:paraId="0D88D916" w14:textId="77777777" w:rsidR="00270008" w:rsidRPr="00CE4296" w:rsidRDefault="00000000">
            <w:pPr>
              <w:rPr>
                <w:color w:val="153D63" w:themeColor="text2" w:themeTint="E6"/>
              </w:rPr>
            </w:pPr>
            <w:r w:rsidRPr="00CE4296">
              <w:rPr>
                <w:b/>
                <w:bCs/>
                <w:color w:val="153D63" w:themeColor="text2" w:themeTint="E6"/>
                <w:sz w:val="20"/>
                <w:szCs w:val="20"/>
              </w:rPr>
              <w:t>BA – Business Analyst (Arquiteto de Negócio)</w:t>
            </w:r>
          </w:p>
        </w:tc>
        <w:tc>
          <w:tcPr>
            <w:tcW w:w="7600" w:type="dxa"/>
            <w:shd w:val="clear" w:color="auto" w:fill="FFFFFF"/>
            <w:tcMar>
              <w:top w:w="100" w:type="dxa"/>
              <w:left w:w="150" w:type="dxa"/>
              <w:bottom w:w="100" w:type="dxa"/>
              <w:right w:w="150" w:type="dxa"/>
            </w:tcMar>
          </w:tcPr>
          <w:p w14:paraId="55FCD331" w14:textId="77777777" w:rsidR="00270008" w:rsidRPr="00CE4296" w:rsidRDefault="00000000">
            <w:pPr>
              <w:rPr>
                <w:color w:val="153D63" w:themeColor="text2" w:themeTint="E6"/>
              </w:rPr>
            </w:pPr>
            <w:r w:rsidRPr="00CE4296">
              <w:rPr>
                <w:color w:val="000000" w:themeColor="text1"/>
                <w:sz w:val="20"/>
                <w:szCs w:val="20"/>
              </w:rPr>
              <w:t>Responsável por traduzir a demanda trazida pelo CRM em diagnóstico técnico no ticket #TK090. Realiza a validação final das regras de negócio e parametrizações, atestando em relatório que o ERP Centi opera em total conformidade técnica e jurídica antes da saída do grupo.</w:t>
            </w:r>
          </w:p>
        </w:tc>
      </w:tr>
      <w:tr w:rsidR="00270008" w14:paraId="278BBF65" w14:textId="77777777">
        <w:tc>
          <w:tcPr>
            <w:tcW w:w="2400" w:type="dxa"/>
            <w:shd w:val="clear" w:color="auto" w:fill="F2F2F2"/>
            <w:tcMar>
              <w:top w:w="100" w:type="dxa"/>
              <w:left w:w="150" w:type="dxa"/>
              <w:bottom w:w="100" w:type="dxa"/>
              <w:right w:w="150" w:type="dxa"/>
            </w:tcMar>
          </w:tcPr>
          <w:p w14:paraId="0D0EEEF4" w14:textId="77777777" w:rsidR="00270008" w:rsidRDefault="00000000">
            <w:r>
              <w:rPr>
                <w:b/>
                <w:bCs/>
                <w:color w:val="1F3864"/>
                <w:sz w:val="20"/>
                <w:szCs w:val="20"/>
              </w:rPr>
              <w:t>Líder de Implantação</w:t>
            </w:r>
          </w:p>
        </w:tc>
        <w:tc>
          <w:tcPr>
            <w:tcW w:w="7600" w:type="dxa"/>
            <w:shd w:val="clear" w:color="auto" w:fill="F2F2F2"/>
            <w:tcMar>
              <w:top w:w="100" w:type="dxa"/>
              <w:left w:w="150" w:type="dxa"/>
              <w:bottom w:w="100" w:type="dxa"/>
              <w:right w:w="150" w:type="dxa"/>
            </w:tcMar>
          </w:tcPr>
          <w:p w14:paraId="10F1CE80" w14:textId="77777777" w:rsidR="00270008" w:rsidRDefault="00000000">
            <w:r>
              <w:rPr>
                <w:sz w:val="20"/>
                <w:szCs w:val="20"/>
              </w:rPr>
              <w:t>Função operacional de campo. Conclui o Handover para o Service Desk e é integralmente desonerado para focar no próximo município do pipeline, evitando sua retenção em chamados de pós-entrega.</w:t>
            </w:r>
          </w:p>
        </w:tc>
      </w:tr>
      <w:tr w:rsidR="00270008" w14:paraId="6534278E" w14:textId="77777777">
        <w:tc>
          <w:tcPr>
            <w:tcW w:w="2400" w:type="dxa"/>
            <w:shd w:val="clear" w:color="auto" w:fill="FFFFFF"/>
            <w:tcMar>
              <w:top w:w="100" w:type="dxa"/>
              <w:left w:w="150" w:type="dxa"/>
              <w:bottom w:w="100" w:type="dxa"/>
              <w:right w:w="150" w:type="dxa"/>
            </w:tcMar>
          </w:tcPr>
          <w:p w14:paraId="373A56B1" w14:textId="77777777" w:rsidR="00270008" w:rsidRDefault="00000000">
            <w:r>
              <w:rPr>
                <w:b/>
                <w:bCs/>
                <w:color w:val="1F3864"/>
                <w:sz w:val="20"/>
                <w:szCs w:val="20"/>
              </w:rPr>
              <w:t>QA – Quality Assurance (Auditoria de Processo)</w:t>
            </w:r>
          </w:p>
        </w:tc>
        <w:tc>
          <w:tcPr>
            <w:tcW w:w="7600" w:type="dxa"/>
            <w:shd w:val="clear" w:color="auto" w:fill="FFFFFF"/>
            <w:tcMar>
              <w:top w:w="100" w:type="dxa"/>
              <w:left w:w="150" w:type="dxa"/>
              <w:bottom w:w="100" w:type="dxa"/>
              <w:right w:w="150" w:type="dxa"/>
            </w:tcMar>
          </w:tcPr>
          <w:p w14:paraId="541C8556" w14:textId="77777777" w:rsidR="00270008" w:rsidRDefault="00000000">
            <w:r>
              <w:rPr>
                <w:sz w:val="20"/>
                <w:szCs w:val="20"/>
              </w:rPr>
              <w:t>Responsável por auditar se todos os ritos processuais desta NOP estão sendo cumpridos. Valida a qualidade, o padrão e a clareza das evidências postadas nas #TK059 e #TK090.</w:t>
            </w:r>
          </w:p>
        </w:tc>
      </w:tr>
      <w:tr w:rsidR="00270008" w14:paraId="73DB6EF3" w14:textId="77777777">
        <w:tc>
          <w:tcPr>
            <w:tcW w:w="2400" w:type="dxa"/>
            <w:shd w:val="clear" w:color="auto" w:fill="F2F2F2"/>
            <w:tcMar>
              <w:top w:w="100" w:type="dxa"/>
              <w:left w:w="150" w:type="dxa"/>
              <w:bottom w:w="100" w:type="dxa"/>
              <w:right w:w="150" w:type="dxa"/>
            </w:tcMar>
          </w:tcPr>
          <w:p w14:paraId="1CDE6155" w14:textId="77777777" w:rsidR="00270008" w:rsidRDefault="00000000">
            <w:r>
              <w:rPr>
                <w:b/>
                <w:bCs/>
                <w:color w:val="1F3864"/>
                <w:sz w:val="20"/>
                <w:szCs w:val="20"/>
              </w:rPr>
              <w:t>SD – Service Desk (Suporte Regular)</w:t>
            </w:r>
          </w:p>
        </w:tc>
        <w:tc>
          <w:tcPr>
            <w:tcW w:w="7600" w:type="dxa"/>
            <w:shd w:val="clear" w:color="auto" w:fill="F2F2F2"/>
            <w:tcMar>
              <w:top w:w="100" w:type="dxa"/>
              <w:left w:w="150" w:type="dxa"/>
              <w:bottom w:w="100" w:type="dxa"/>
              <w:right w:w="150" w:type="dxa"/>
            </w:tcMar>
          </w:tcPr>
          <w:p w14:paraId="1A48BF31" w14:textId="77777777" w:rsidR="00270008" w:rsidRDefault="00000000">
            <w:r>
              <w:rPr>
                <w:sz w:val="20"/>
                <w:szCs w:val="20"/>
              </w:rPr>
              <w:t>Célula padrão de atendimento. Recebe o cliente imediatamente pós-handover e assume a conta de forma definitiva após o encerramento do GPH através do rito da Bridge.</w:t>
            </w:r>
          </w:p>
        </w:tc>
      </w:tr>
    </w:tbl>
    <w:p w14:paraId="443C4A4D" w14:textId="77777777" w:rsidR="00270008" w:rsidRDefault="00000000">
      <w:pPr>
        <w:pStyle w:val="Ttulo2"/>
        <w:spacing w:before="320" w:after="140"/>
      </w:pPr>
      <w:r>
        <w:rPr>
          <w:b/>
          <w:bCs/>
          <w:color w:val="1F3864"/>
          <w:sz w:val="24"/>
          <w:szCs w:val="24"/>
        </w:rPr>
        <w:t>10.2 Fluxo Político-Operacional de Convocação (A Escalada do Alerta)</w:t>
      </w:r>
    </w:p>
    <w:p w14:paraId="57FB46B6" w14:textId="77777777" w:rsidR="00270008" w:rsidRDefault="00000000">
      <w:pPr>
        <w:spacing w:after="160" w:line="300" w:lineRule="auto"/>
        <w:jc w:val="both"/>
      </w:pPr>
      <w:r>
        <w:t>O acionamento do GPH compreende a realidade de campo do mercado público, onde o líder político do município (Prefeito, Secretário ou Diretor) não utiliza os canais comuns de Service Desk, optando pelo contato telefônico ou presencial direto com o CRM, devido à relação de confiança construída durante o projeto. O fluxo segue rigorosamente esta dinâmica:</w:t>
      </w:r>
    </w:p>
    <w:p w14:paraId="5DD48CAE" w14:textId="77777777" w:rsidR="00270008" w:rsidRDefault="00000000">
      <w:pPr>
        <w:pStyle w:val="PargrafodaLista"/>
        <w:numPr>
          <w:ilvl w:val="0"/>
          <w:numId w:val="11"/>
        </w:numPr>
        <w:spacing w:after="100" w:line="280" w:lineRule="auto"/>
      </w:pPr>
      <w:r>
        <w:rPr>
          <w:b/>
          <w:bCs/>
        </w:rPr>
        <w:t xml:space="preserve">O Alerta Político Direto: </w:t>
      </w:r>
      <w:r>
        <w:t>o CRM recebe a insatisfação do alto escalão do município e atua como o primeiro amortecedor institucional da crise.</w:t>
      </w:r>
    </w:p>
    <w:p w14:paraId="3E25E3E0" w14:textId="77777777" w:rsidR="00270008" w:rsidRDefault="00000000">
      <w:pPr>
        <w:pStyle w:val="PargrafodaLista"/>
        <w:numPr>
          <w:ilvl w:val="0"/>
          <w:numId w:val="11"/>
        </w:numPr>
        <w:spacing w:after="100" w:line="280" w:lineRule="auto"/>
      </w:pPr>
      <w:r>
        <w:rPr>
          <w:b/>
          <w:bCs/>
        </w:rPr>
        <w:lastRenderedPageBreak/>
        <w:t xml:space="preserve">O Filtro de Detração (CRM): </w:t>
      </w:r>
      <w:r>
        <w:t>cabe ao CRM avaliar se a demanda possui caráter estritamente político (ruído de relacionamento) ou se há um travamento real de sistema. Casos políticos são tratados via diplomacia comercial; problemas reais de sistema são imediatamente direcionados para o BA para abertura do ticket #TK090.</w:t>
      </w:r>
    </w:p>
    <w:p w14:paraId="4EA3DB18" w14:textId="77777777" w:rsidR="00270008" w:rsidRDefault="00000000">
      <w:pPr>
        <w:pStyle w:val="PargrafodaLista"/>
        <w:numPr>
          <w:ilvl w:val="0"/>
          <w:numId w:val="11"/>
        </w:numPr>
        <w:spacing w:after="100" w:line="280" w:lineRule="auto"/>
      </w:pPr>
      <w:r>
        <w:rPr>
          <w:b/>
          <w:bCs/>
        </w:rPr>
        <w:t xml:space="preserve">A Validação Técnica: </w:t>
      </w:r>
      <w:r>
        <w:t>o BA analisa o cenário operacional exposto e formaliza o diagnóstico técnico e jurídico no Acompanhamento CRM (#TK090).</w:t>
      </w:r>
    </w:p>
    <w:p w14:paraId="7F1915EF" w14:textId="77777777" w:rsidR="00270008" w:rsidRDefault="00000000">
      <w:pPr>
        <w:pStyle w:val="PargrafodaLista"/>
        <w:numPr>
          <w:ilvl w:val="0"/>
          <w:numId w:val="11"/>
        </w:numPr>
        <w:spacing w:after="100" w:line="280" w:lineRule="auto"/>
      </w:pPr>
      <w:r>
        <w:rPr>
          <w:b/>
          <w:bCs/>
        </w:rPr>
        <w:t xml:space="preserve">A Convocação Oficial: </w:t>
      </w:r>
      <w:r>
        <w:t>com base no alinhamento do CRM e no parecer do BA, o DC emite o Decreto de Convocação. O GPH assume temporariamente o ecossistema do cliente para apagar os incêndios pós-handover, mantendo o Líder de Implantação totalmente livre para o próximo projeto.</w:t>
      </w:r>
    </w:p>
    <w:p w14:paraId="006B7973" w14:textId="77777777" w:rsidR="00270008" w:rsidRDefault="00000000">
      <w:pPr>
        <w:pStyle w:val="Ttulo2"/>
        <w:spacing w:before="320" w:after="140"/>
      </w:pPr>
      <w:r>
        <w:rPr>
          <w:b/>
          <w:bCs/>
          <w:color w:val="1F3864"/>
          <w:sz w:val="24"/>
          <w:szCs w:val="24"/>
        </w:rPr>
        <w:t>10.3 O Rito de Saída e Encerramento (A Bridge)</w:t>
      </w:r>
    </w:p>
    <w:p w14:paraId="361EDB90" w14:textId="77777777" w:rsidR="00270008" w:rsidRDefault="00000000">
      <w:pPr>
        <w:spacing w:after="160" w:line="300" w:lineRule="auto"/>
        <w:jc w:val="both"/>
      </w:pPr>
      <w:r>
        <w:t>O GPH atua em um ciclo planejado de até 22 dias (48h de Imersão Tática + até 20 dias de Operação Assistida). O encerramento da força-tarefa cumpre as seguintes etapas organizacionais:</w:t>
      </w:r>
    </w:p>
    <w:p w14:paraId="58D9F249" w14:textId="77777777" w:rsidR="00270008" w:rsidRDefault="00000000">
      <w:pPr>
        <w:pStyle w:val="PargrafodaLista"/>
        <w:numPr>
          <w:ilvl w:val="0"/>
          <w:numId w:val="12"/>
        </w:numPr>
        <w:spacing w:after="100" w:line="280" w:lineRule="auto"/>
      </w:pPr>
      <w:r>
        <w:rPr>
          <w:b/>
          <w:bCs/>
        </w:rPr>
        <w:t xml:space="preserve">Auditoria Processual (QA): </w:t>
      </w:r>
      <w:r>
        <w:t>o QA certifica que o histórico de soluções e evidências foi corretamente documentado de acordo com as normas internas de governança da NOP.</w:t>
      </w:r>
    </w:p>
    <w:p w14:paraId="3C30D10F" w14:textId="77777777" w:rsidR="00270008" w:rsidRDefault="00000000">
      <w:pPr>
        <w:pStyle w:val="PargrafodaLista"/>
        <w:numPr>
          <w:ilvl w:val="0"/>
          <w:numId w:val="12"/>
        </w:numPr>
        <w:spacing w:after="100" w:line="280" w:lineRule="auto"/>
      </w:pPr>
      <w:r>
        <w:rPr>
          <w:b/>
          <w:bCs/>
        </w:rPr>
        <w:t xml:space="preserve">Validação Técnica (BA): </w:t>
      </w:r>
      <w:r>
        <w:t>o BA realiza o teste das regras de negócio e assina o relatório técnico atestando a estabilidade e o pleno funcionamento do ERP no município.</w:t>
      </w:r>
    </w:p>
    <w:p w14:paraId="37D0ED90" w14:textId="77777777" w:rsidR="00270008" w:rsidRDefault="00000000">
      <w:pPr>
        <w:pStyle w:val="PargrafodaLista"/>
        <w:numPr>
          <w:ilvl w:val="0"/>
          <w:numId w:val="12"/>
        </w:numPr>
        <w:spacing w:after="100" w:line="280" w:lineRule="auto"/>
      </w:pPr>
      <w:r>
        <w:rPr>
          <w:b/>
          <w:bCs/>
        </w:rPr>
        <w:t xml:space="preserve">A Reunião da Bridge (A Ponte): </w:t>
      </w:r>
      <w:r>
        <w:t>o DC e o CRM realizam uma reunião formal conjunta com os secretários do município para apresentar os gargalos resolvidos. Com o aval operacional do DC e a validação de satisfação política do CRM, a conta é entregue à esteira regular do Service Desk (SD), extinguindo-se aquela força-tarefa do GPH.</w:t>
      </w:r>
    </w:p>
    <w:p w14:paraId="6536813B" w14:textId="77777777" w:rsidR="00270008" w:rsidRDefault="00000000">
      <w:pPr>
        <w:pStyle w:val="Ttulo1"/>
        <w:pBdr>
          <w:bottom w:val="single" w:sz="8" w:space="4" w:color="1F3864"/>
        </w:pBdr>
        <w:spacing w:before="480" w:after="200"/>
      </w:pPr>
      <w:r>
        <w:rPr>
          <w:b/>
          <w:bCs/>
          <w:color w:val="1F3864"/>
          <w:sz w:val="30"/>
          <w:szCs w:val="30"/>
        </w:rPr>
        <w:t>11. Diretrizes de Transição e Integração: Esteira SIGEP</w:t>
      </w:r>
    </w:p>
    <w:p w14:paraId="77089F0E" w14:textId="77777777" w:rsidR="00270008" w:rsidRDefault="00000000">
      <w:pPr>
        <w:spacing w:after="160" w:line="300" w:lineRule="auto"/>
        <w:jc w:val="both"/>
      </w:pPr>
      <w:r>
        <w:rPr>
          <w:i/>
          <w:iCs/>
          <w:color w:val="595959"/>
        </w:rPr>
        <w:t>Aplicável exclusivamente à base de clientes e profissionais oriundos do ERP SIGEP.</w:t>
      </w:r>
    </w:p>
    <w:p w14:paraId="20CAC823" w14:textId="77777777" w:rsidR="00270008" w:rsidRDefault="00000000">
      <w:pPr>
        <w:pStyle w:val="Ttulo2"/>
        <w:spacing w:before="320" w:after="140"/>
      </w:pPr>
      <w:r>
        <w:rPr>
          <w:b/>
          <w:bCs/>
          <w:color w:val="1F3864"/>
          <w:sz w:val="24"/>
          <w:szCs w:val="24"/>
        </w:rPr>
        <w:t>11.1 Parceria Metodológica: O Modelo de Migração Cooperativa</w:t>
      </w:r>
    </w:p>
    <w:p w14:paraId="1E6C977F" w14:textId="77777777" w:rsidR="00270008" w:rsidRDefault="00000000">
      <w:pPr>
        <w:spacing w:after="160" w:line="300" w:lineRule="auto"/>
        <w:jc w:val="both"/>
      </w:pPr>
      <w:r>
        <w:t>A união da estrutura SIGEP com a Centi Ltda. consolida o conceito de Migração Cooperativa no mercado de tecnologia governamental. Diferente de transições tradicionais de mercado, onde há ruptura e ocultação de dados, este modelo baseia-se no compartilhamento de conhecimento e na continuidade do ecossistema de forma amigável.</w:t>
      </w:r>
    </w:p>
    <w:p w14:paraId="46FCA021" w14:textId="77777777" w:rsidR="00270008" w:rsidRDefault="00000000">
      <w:pPr>
        <w:spacing w:after="160" w:line="300" w:lineRule="auto"/>
        <w:jc w:val="both"/>
      </w:pPr>
      <w:r>
        <w:t>Para as atividades do GPH em contas desta vertical, a sinergia de equipes gera vantagens operacionais estratégicas:</w:t>
      </w:r>
    </w:p>
    <w:p w14:paraId="6497E648" w14:textId="77777777" w:rsidR="00270008" w:rsidRDefault="00000000">
      <w:pPr>
        <w:pStyle w:val="PargrafodaLista"/>
        <w:numPr>
          <w:ilvl w:val="0"/>
          <w:numId w:val="2"/>
        </w:numPr>
        <w:spacing w:after="100" w:line="280" w:lineRule="auto"/>
      </w:pPr>
      <w:r>
        <w:rPr>
          <w:b/>
          <w:bCs/>
        </w:rPr>
        <w:t xml:space="preserve">Compartilhamento de Conhecimento (Sinarquia de Dados): </w:t>
      </w:r>
      <w:r>
        <w:t>o GPH inicia o atendimento com o apoio direto de quem possui o histórico da conta. Como a equipe de suporte original integra o corpo técnico da Centi, o histórico de customizações, regras específicas e perfis dos usuários são transferidos de forma transparente e colaborativa.</w:t>
      </w:r>
    </w:p>
    <w:p w14:paraId="326A3F42" w14:textId="77777777" w:rsidR="00270008" w:rsidRDefault="00000000">
      <w:pPr>
        <w:pStyle w:val="PargrafodaLista"/>
        <w:numPr>
          <w:ilvl w:val="0"/>
          <w:numId w:val="2"/>
        </w:numPr>
        <w:spacing w:after="100" w:line="280" w:lineRule="auto"/>
      </w:pPr>
      <w:r>
        <w:rPr>
          <w:b/>
          <w:bCs/>
        </w:rPr>
        <w:t xml:space="preserve">Engenharia Reversa Integrada: </w:t>
      </w:r>
      <w:r>
        <w:t>o desenho de melhorias no ERP Centi conta com a mentoria e o apoio técnico dos profissionais que dominam a arquitetura do ERP SIGEP, acelerando o mapeamento de processos e eliminando o retrabalho de parametrização.</w:t>
      </w:r>
    </w:p>
    <w:p w14:paraId="31099E6B" w14:textId="77777777" w:rsidR="00270008" w:rsidRDefault="00000000">
      <w:pPr>
        <w:pStyle w:val="PargrafodaLista"/>
        <w:numPr>
          <w:ilvl w:val="0"/>
          <w:numId w:val="2"/>
        </w:numPr>
        <w:spacing w:after="100" w:line="280" w:lineRule="auto"/>
      </w:pPr>
      <w:r>
        <w:rPr>
          <w:b/>
          <w:bCs/>
        </w:rPr>
        <w:lastRenderedPageBreak/>
        <w:t xml:space="preserve">Acolhimento e Efeito Ponte: </w:t>
      </w:r>
      <w:r>
        <w:t>a atuação de profissionais ex-SIGEP na jornada do GPH funciona como um amortecedor de ansiedade para o cliente. A identificação de rostos e nomes conhecidos na linha de frente do suporte Centi reduz a resistência à mudança e fortalece a percepção política gerida pelo CRM.</w:t>
      </w:r>
    </w:p>
    <w:p w14:paraId="590F47BC" w14:textId="77777777" w:rsidR="00270008" w:rsidRDefault="00000000">
      <w:pPr>
        <w:pStyle w:val="Ttulo2"/>
        <w:spacing w:before="320" w:after="140"/>
      </w:pPr>
      <w:r>
        <w:rPr>
          <w:b/>
          <w:bCs/>
          <w:color w:val="1F3864"/>
          <w:sz w:val="24"/>
          <w:szCs w:val="24"/>
        </w:rPr>
        <w:t>11.2 Cronograma de Alocação e Transição Estrutural (Sincronismo de Base)</w:t>
      </w:r>
    </w:p>
    <w:p w14:paraId="3A3FE179" w14:textId="77777777" w:rsidR="00270008" w:rsidRDefault="00000000">
      <w:pPr>
        <w:spacing w:after="160" w:line="300" w:lineRule="auto"/>
        <w:jc w:val="both"/>
      </w:pPr>
      <w:r>
        <w:t>A integração das equipes de suporte da SIGEP à estrutura da Centi acompanha o cronograma de migração das prefeituras. Como a base de clientes do ERP antigo é descontinuada em ondas, a movimentação dos profissionais segue o fluxo organizacional padrão definido para a transição:</w:t>
      </w:r>
    </w:p>
    <w:p w14:paraId="3FB9A132" w14:textId="77777777" w:rsidR="00270008" w:rsidRDefault="00000000">
      <w:pPr>
        <w:pStyle w:val="PargrafodaLista"/>
        <w:numPr>
          <w:ilvl w:val="0"/>
          <w:numId w:val="13"/>
        </w:numPr>
        <w:spacing w:after="100" w:line="280" w:lineRule="auto"/>
      </w:pPr>
      <w:r>
        <w:rPr>
          <w:b/>
          <w:bCs/>
        </w:rPr>
        <w:t xml:space="preserve">Migração Automática de Carga de Trabalho: </w:t>
      </w:r>
      <w:r>
        <w:t>à medida que uma prefeitura encerra sua operação no ERP SIGEP e inicia suas atividades em ambiente de produção na Centi, as demandas no sistema anterior deixam de existir. Consequentemente, o profissional vinculado a essa conta tem seu escopo de trabalho direcionado de forma planejada para as novas ferramentas.</w:t>
      </w:r>
    </w:p>
    <w:p w14:paraId="4F69C485" w14:textId="77777777" w:rsidR="00270008" w:rsidRDefault="00000000">
      <w:pPr>
        <w:pStyle w:val="PargrafodaLista"/>
        <w:numPr>
          <w:ilvl w:val="0"/>
          <w:numId w:val="13"/>
        </w:numPr>
        <w:spacing w:after="100" w:line="280" w:lineRule="auto"/>
      </w:pPr>
      <w:r>
        <w:rPr>
          <w:b/>
          <w:bCs/>
        </w:rPr>
        <w:t xml:space="preserve">Etapa de Habilitação e Integração ao GPH: </w:t>
      </w:r>
      <w:r>
        <w:t>o profissional que conclui a transição de base passa pela capacitação prática nas ferramentas Centi e assume a responsabilidade técnica de compor o GPH específico do município que ele já atendia. Esta etapa é o pilar fundamental do processo de transição, unindo o histórico do analista à nova arquitetura da Centi.</w:t>
      </w:r>
    </w:p>
    <w:p w14:paraId="27A4F57D" w14:textId="77777777" w:rsidR="00270008" w:rsidRDefault="00000000">
      <w:pPr>
        <w:pStyle w:val="PargrafodaLista"/>
        <w:numPr>
          <w:ilvl w:val="0"/>
          <w:numId w:val="13"/>
        </w:numPr>
        <w:spacing w:after="100" w:line="280" w:lineRule="auto"/>
      </w:pPr>
      <w:r>
        <w:rPr>
          <w:b/>
          <w:bCs/>
        </w:rPr>
        <w:t xml:space="preserve">Homologação Técnica com o BA: </w:t>
      </w:r>
      <w:r>
        <w:t>ao final do ciclo planejado do GPH (de até 22 dias), o BA (Business Analyst) realiza a validação das regras de negócio e parametrizações com a equipe, formalizando em relatório o perfeito funcionamento do ERP Centi no município.</w:t>
      </w:r>
    </w:p>
    <w:p w14:paraId="7E6A87B6" w14:textId="77777777" w:rsidR="00270008" w:rsidRDefault="00000000">
      <w:pPr>
        <w:pStyle w:val="PargrafodaLista"/>
        <w:numPr>
          <w:ilvl w:val="0"/>
          <w:numId w:val="13"/>
        </w:numPr>
        <w:spacing w:after="100" w:line="280" w:lineRule="auto"/>
      </w:pPr>
      <w:r>
        <w:rPr>
          <w:b/>
          <w:bCs/>
        </w:rPr>
        <w:t xml:space="preserve">Consolidação da Bridge e Alocação no Service Desk: </w:t>
      </w:r>
      <w:r>
        <w:t>concluída a validação do BA e realizada a Bridge conjunta pelo CRM e pelo DC, encerra-se o escopo temporário daquela força-tarefa. O profissional ex-SIGEP passa então a integrar, de forma definitiva, as escalas oficiais e os fluxos internos de atendimento do Service Desk (SD) da Centi.</w:t>
      </w:r>
    </w:p>
    <w:sectPr w:rsidR="00270008">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AEE5D" w14:textId="77777777" w:rsidR="00767186" w:rsidRDefault="00767186">
      <w:r>
        <w:separator/>
      </w:r>
    </w:p>
  </w:endnote>
  <w:endnote w:type="continuationSeparator" w:id="0">
    <w:p w14:paraId="2A1DD955" w14:textId="77777777" w:rsidR="00767186" w:rsidRDefault="00767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69EA" w14:textId="77777777" w:rsidR="00270008"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D37C81">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D37C81">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BA14D" w14:textId="77777777" w:rsidR="00767186" w:rsidRDefault="00767186">
      <w:r>
        <w:separator/>
      </w:r>
    </w:p>
  </w:footnote>
  <w:footnote w:type="continuationSeparator" w:id="0">
    <w:p w14:paraId="3659B157" w14:textId="77777777" w:rsidR="00767186" w:rsidRDefault="00767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037E6" w14:textId="77777777" w:rsidR="00270008" w:rsidRDefault="00000000">
    <w:pPr>
      <w:pBdr>
        <w:bottom w:val="single" w:sz="4" w:space="4" w:color="BFBFBF"/>
      </w:pBdr>
      <w:jc w:val="right"/>
    </w:pPr>
    <w:r>
      <w:rPr>
        <w:color w:val="595959"/>
        <w:sz w:val="16"/>
        <w:szCs w:val="16"/>
      </w:rPr>
      <w:t xml:space="preserve">NOP 001/2026 — </w:t>
    </w:r>
    <w:proofErr w:type="spellStart"/>
    <w:r>
      <w:rPr>
        <w:color w:val="595959"/>
        <w:sz w:val="16"/>
        <w:szCs w:val="16"/>
      </w:rPr>
      <w:t>Centi</w:t>
    </w:r>
    <w:proofErr w:type="spellEnd"/>
    <w:r>
      <w:rPr>
        <w:color w:val="595959"/>
        <w:sz w:val="16"/>
        <w:szCs w:val="16"/>
      </w:rPr>
      <w:t xml:space="preserve"> Ltda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5B7"/>
    <w:multiLevelType w:val="hybridMultilevel"/>
    <w:tmpl w:val="B952ED34"/>
    <w:lvl w:ilvl="0" w:tplc="6F1C28BE">
      <w:start w:val="1"/>
      <w:numFmt w:val="decimal"/>
      <w:lvlText w:val="%1."/>
      <w:lvlJc w:val="left"/>
      <w:pPr>
        <w:ind w:left="576" w:hanging="360"/>
      </w:pPr>
    </w:lvl>
    <w:lvl w:ilvl="1" w:tplc="74FA2366">
      <w:numFmt w:val="decimal"/>
      <w:lvlText w:val=""/>
      <w:lvlJc w:val="left"/>
    </w:lvl>
    <w:lvl w:ilvl="2" w:tplc="43C696EC">
      <w:numFmt w:val="decimal"/>
      <w:lvlText w:val=""/>
      <w:lvlJc w:val="left"/>
    </w:lvl>
    <w:lvl w:ilvl="3" w:tplc="5BEE373E">
      <w:numFmt w:val="decimal"/>
      <w:lvlText w:val=""/>
      <w:lvlJc w:val="left"/>
    </w:lvl>
    <w:lvl w:ilvl="4" w:tplc="918C2024">
      <w:numFmt w:val="decimal"/>
      <w:lvlText w:val=""/>
      <w:lvlJc w:val="left"/>
    </w:lvl>
    <w:lvl w:ilvl="5" w:tplc="56821CBA">
      <w:numFmt w:val="decimal"/>
      <w:lvlText w:val=""/>
      <w:lvlJc w:val="left"/>
    </w:lvl>
    <w:lvl w:ilvl="6" w:tplc="4FDC1D3C">
      <w:numFmt w:val="decimal"/>
      <w:lvlText w:val=""/>
      <w:lvlJc w:val="left"/>
    </w:lvl>
    <w:lvl w:ilvl="7" w:tplc="F4945D5A">
      <w:numFmt w:val="decimal"/>
      <w:lvlText w:val=""/>
      <w:lvlJc w:val="left"/>
    </w:lvl>
    <w:lvl w:ilvl="8" w:tplc="D3B8E66C">
      <w:numFmt w:val="decimal"/>
      <w:lvlText w:val=""/>
      <w:lvlJc w:val="left"/>
    </w:lvl>
  </w:abstractNum>
  <w:abstractNum w:abstractNumId="1" w15:restartNumberingAfterBreak="0">
    <w:nsid w:val="06C30C6E"/>
    <w:multiLevelType w:val="hybridMultilevel"/>
    <w:tmpl w:val="F53CB442"/>
    <w:lvl w:ilvl="0" w:tplc="EFFC52E2">
      <w:start w:val="1"/>
      <w:numFmt w:val="decimal"/>
      <w:lvlText w:val="%1."/>
      <w:lvlJc w:val="left"/>
      <w:pPr>
        <w:ind w:left="576" w:hanging="360"/>
      </w:pPr>
    </w:lvl>
    <w:lvl w:ilvl="1" w:tplc="0AD011BC">
      <w:numFmt w:val="decimal"/>
      <w:lvlText w:val=""/>
      <w:lvlJc w:val="left"/>
    </w:lvl>
    <w:lvl w:ilvl="2" w:tplc="AB3E19E6">
      <w:numFmt w:val="decimal"/>
      <w:lvlText w:val=""/>
      <w:lvlJc w:val="left"/>
    </w:lvl>
    <w:lvl w:ilvl="3" w:tplc="F5A8ED48">
      <w:numFmt w:val="decimal"/>
      <w:lvlText w:val=""/>
      <w:lvlJc w:val="left"/>
    </w:lvl>
    <w:lvl w:ilvl="4" w:tplc="77A0CC7A">
      <w:numFmt w:val="decimal"/>
      <w:lvlText w:val=""/>
      <w:lvlJc w:val="left"/>
    </w:lvl>
    <w:lvl w:ilvl="5" w:tplc="1750BD3C">
      <w:numFmt w:val="decimal"/>
      <w:lvlText w:val=""/>
      <w:lvlJc w:val="left"/>
    </w:lvl>
    <w:lvl w:ilvl="6" w:tplc="49AA71CA">
      <w:numFmt w:val="decimal"/>
      <w:lvlText w:val=""/>
      <w:lvlJc w:val="left"/>
    </w:lvl>
    <w:lvl w:ilvl="7" w:tplc="ED00DA46">
      <w:numFmt w:val="decimal"/>
      <w:lvlText w:val=""/>
      <w:lvlJc w:val="left"/>
    </w:lvl>
    <w:lvl w:ilvl="8" w:tplc="2E84CE30">
      <w:numFmt w:val="decimal"/>
      <w:lvlText w:val=""/>
      <w:lvlJc w:val="left"/>
    </w:lvl>
  </w:abstractNum>
  <w:abstractNum w:abstractNumId="2" w15:restartNumberingAfterBreak="0">
    <w:nsid w:val="130D1C99"/>
    <w:multiLevelType w:val="hybridMultilevel"/>
    <w:tmpl w:val="8B326924"/>
    <w:lvl w:ilvl="0" w:tplc="05783994">
      <w:start w:val="1"/>
      <w:numFmt w:val="decimal"/>
      <w:lvlText w:val="%1."/>
      <w:lvlJc w:val="left"/>
      <w:pPr>
        <w:ind w:left="576" w:hanging="360"/>
      </w:pPr>
    </w:lvl>
    <w:lvl w:ilvl="1" w:tplc="54606C26">
      <w:numFmt w:val="decimal"/>
      <w:lvlText w:val=""/>
      <w:lvlJc w:val="left"/>
    </w:lvl>
    <w:lvl w:ilvl="2" w:tplc="71CC1844">
      <w:numFmt w:val="decimal"/>
      <w:lvlText w:val=""/>
      <w:lvlJc w:val="left"/>
    </w:lvl>
    <w:lvl w:ilvl="3" w:tplc="5CA482B2">
      <w:numFmt w:val="decimal"/>
      <w:lvlText w:val=""/>
      <w:lvlJc w:val="left"/>
    </w:lvl>
    <w:lvl w:ilvl="4" w:tplc="7CD6BAA0">
      <w:numFmt w:val="decimal"/>
      <w:lvlText w:val=""/>
      <w:lvlJc w:val="left"/>
    </w:lvl>
    <w:lvl w:ilvl="5" w:tplc="177A2630">
      <w:numFmt w:val="decimal"/>
      <w:lvlText w:val=""/>
      <w:lvlJc w:val="left"/>
    </w:lvl>
    <w:lvl w:ilvl="6" w:tplc="7E6C58DA">
      <w:numFmt w:val="decimal"/>
      <w:lvlText w:val=""/>
      <w:lvlJc w:val="left"/>
    </w:lvl>
    <w:lvl w:ilvl="7" w:tplc="0B703DF0">
      <w:numFmt w:val="decimal"/>
      <w:lvlText w:val=""/>
      <w:lvlJc w:val="left"/>
    </w:lvl>
    <w:lvl w:ilvl="8" w:tplc="71AAEAD8">
      <w:numFmt w:val="decimal"/>
      <w:lvlText w:val=""/>
      <w:lvlJc w:val="left"/>
    </w:lvl>
  </w:abstractNum>
  <w:abstractNum w:abstractNumId="3" w15:restartNumberingAfterBreak="0">
    <w:nsid w:val="217256FB"/>
    <w:multiLevelType w:val="hybridMultilevel"/>
    <w:tmpl w:val="56C2AA86"/>
    <w:lvl w:ilvl="0" w:tplc="50E6EF98">
      <w:start w:val="1"/>
      <w:numFmt w:val="decimal"/>
      <w:lvlText w:val="%1."/>
      <w:lvlJc w:val="left"/>
      <w:pPr>
        <w:ind w:left="576" w:hanging="360"/>
      </w:pPr>
    </w:lvl>
    <w:lvl w:ilvl="1" w:tplc="462C8AB0">
      <w:numFmt w:val="decimal"/>
      <w:lvlText w:val=""/>
      <w:lvlJc w:val="left"/>
    </w:lvl>
    <w:lvl w:ilvl="2" w:tplc="01580DDC">
      <w:numFmt w:val="decimal"/>
      <w:lvlText w:val=""/>
      <w:lvlJc w:val="left"/>
    </w:lvl>
    <w:lvl w:ilvl="3" w:tplc="23BC2FF2">
      <w:numFmt w:val="decimal"/>
      <w:lvlText w:val=""/>
      <w:lvlJc w:val="left"/>
    </w:lvl>
    <w:lvl w:ilvl="4" w:tplc="DEC85088">
      <w:numFmt w:val="decimal"/>
      <w:lvlText w:val=""/>
      <w:lvlJc w:val="left"/>
    </w:lvl>
    <w:lvl w:ilvl="5" w:tplc="F4249FB0">
      <w:numFmt w:val="decimal"/>
      <w:lvlText w:val=""/>
      <w:lvlJc w:val="left"/>
    </w:lvl>
    <w:lvl w:ilvl="6" w:tplc="B18CCCC2">
      <w:numFmt w:val="decimal"/>
      <w:lvlText w:val=""/>
      <w:lvlJc w:val="left"/>
    </w:lvl>
    <w:lvl w:ilvl="7" w:tplc="DAA81700">
      <w:numFmt w:val="decimal"/>
      <w:lvlText w:val=""/>
      <w:lvlJc w:val="left"/>
    </w:lvl>
    <w:lvl w:ilvl="8" w:tplc="A4246F92">
      <w:numFmt w:val="decimal"/>
      <w:lvlText w:val=""/>
      <w:lvlJc w:val="left"/>
    </w:lvl>
  </w:abstractNum>
  <w:abstractNum w:abstractNumId="4" w15:restartNumberingAfterBreak="0">
    <w:nsid w:val="283D737B"/>
    <w:multiLevelType w:val="hybridMultilevel"/>
    <w:tmpl w:val="215045CC"/>
    <w:lvl w:ilvl="0" w:tplc="17A46BD2">
      <w:start w:val="1"/>
      <w:numFmt w:val="decimal"/>
      <w:lvlText w:val="%1."/>
      <w:lvlJc w:val="left"/>
      <w:pPr>
        <w:ind w:left="576" w:hanging="360"/>
      </w:pPr>
    </w:lvl>
    <w:lvl w:ilvl="1" w:tplc="EA206C50">
      <w:numFmt w:val="decimal"/>
      <w:lvlText w:val=""/>
      <w:lvlJc w:val="left"/>
    </w:lvl>
    <w:lvl w:ilvl="2" w:tplc="C14C1F84">
      <w:numFmt w:val="decimal"/>
      <w:lvlText w:val=""/>
      <w:lvlJc w:val="left"/>
    </w:lvl>
    <w:lvl w:ilvl="3" w:tplc="83860952">
      <w:numFmt w:val="decimal"/>
      <w:lvlText w:val=""/>
      <w:lvlJc w:val="left"/>
    </w:lvl>
    <w:lvl w:ilvl="4" w:tplc="FAFC3F62">
      <w:numFmt w:val="decimal"/>
      <w:lvlText w:val=""/>
      <w:lvlJc w:val="left"/>
    </w:lvl>
    <w:lvl w:ilvl="5" w:tplc="FFC266BA">
      <w:numFmt w:val="decimal"/>
      <w:lvlText w:val=""/>
      <w:lvlJc w:val="left"/>
    </w:lvl>
    <w:lvl w:ilvl="6" w:tplc="5D7A99CE">
      <w:numFmt w:val="decimal"/>
      <w:lvlText w:val=""/>
      <w:lvlJc w:val="left"/>
    </w:lvl>
    <w:lvl w:ilvl="7" w:tplc="D984235E">
      <w:numFmt w:val="decimal"/>
      <w:lvlText w:val=""/>
      <w:lvlJc w:val="left"/>
    </w:lvl>
    <w:lvl w:ilvl="8" w:tplc="3C60AF74">
      <w:numFmt w:val="decimal"/>
      <w:lvlText w:val=""/>
      <w:lvlJc w:val="left"/>
    </w:lvl>
  </w:abstractNum>
  <w:abstractNum w:abstractNumId="5" w15:restartNumberingAfterBreak="0">
    <w:nsid w:val="38CA5A85"/>
    <w:multiLevelType w:val="hybridMultilevel"/>
    <w:tmpl w:val="E2404044"/>
    <w:lvl w:ilvl="0" w:tplc="FA6CCB58">
      <w:start w:val="1"/>
      <w:numFmt w:val="decimal"/>
      <w:lvlText w:val="%1."/>
      <w:lvlJc w:val="left"/>
      <w:pPr>
        <w:ind w:left="576" w:hanging="360"/>
      </w:pPr>
    </w:lvl>
    <w:lvl w:ilvl="1" w:tplc="818A2EAA">
      <w:numFmt w:val="decimal"/>
      <w:lvlText w:val=""/>
      <w:lvlJc w:val="left"/>
    </w:lvl>
    <w:lvl w:ilvl="2" w:tplc="7A9E6F60">
      <w:numFmt w:val="decimal"/>
      <w:lvlText w:val=""/>
      <w:lvlJc w:val="left"/>
    </w:lvl>
    <w:lvl w:ilvl="3" w:tplc="3FB20D34">
      <w:numFmt w:val="decimal"/>
      <w:lvlText w:val=""/>
      <w:lvlJc w:val="left"/>
    </w:lvl>
    <w:lvl w:ilvl="4" w:tplc="F2C27C32">
      <w:numFmt w:val="decimal"/>
      <w:lvlText w:val=""/>
      <w:lvlJc w:val="left"/>
    </w:lvl>
    <w:lvl w:ilvl="5" w:tplc="168EA17E">
      <w:numFmt w:val="decimal"/>
      <w:lvlText w:val=""/>
      <w:lvlJc w:val="left"/>
    </w:lvl>
    <w:lvl w:ilvl="6" w:tplc="ECA4DF98">
      <w:numFmt w:val="decimal"/>
      <w:lvlText w:val=""/>
      <w:lvlJc w:val="left"/>
    </w:lvl>
    <w:lvl w:ilvl="7" w:tplc="74100544">
      <w:numFmt w:val="decimal"/>
      <w:lvlText w:val=""/>
      <w:lvlJc w:val="left"/>
    </w:lvl>
    <w:lvl w:ilvl="8" w:tplc="7F5456AE">
      <w:numFmt w:val="decimal"/>
      <w:lvlText w:val=""/>
      <w:lvlJc w:val="left"/>
    </w:lvl>
  </w:abstractNum>
  <w:abstractNum w:abstractNumId="6" w15:restartNumberingAfterBreak="0">
    <w:nsid w:val="46EB7A89"/>
    <w:multiLevelType w:val="hybridMultilevel"/>
    <w:tmpl w:val="7A1CDF24"/>
    <w:lvl w:ilvl="0" w:tplc="EEF6EF02">
      <w:start w:val="1"/>
      <w:numFmt w:val="decimal"/>
      <w:lvlText w:val="%1."/>
      <w:lvlJc w:val="left"/>
      <w:pPr>
        <w:ind w:left="576" w:hanging="360"/>
      </w:pPr>
    </w:lvl>
    <w:lvl w:ilvl="1" w:tplc="D560455E">
      <w:numFmt w:val="decimal"/>
      <w:lvlText w:val=""/>
      <w:lvlJc w:val="left"/>
    </w:lvl>
    <w:lvl w:ilvl="2" w:tplc="9BF8168A">
      <w:numFmt w:val="decimal"/>
      <w:lvlText w:val=""/>
      <w:lvlJc w:val="left"/>
    </w:lvl>
    <w:lvl w:ilvl="3" w:tplc="1200FF2C">
      <w:numFmt w:val="decimal"/>
      <w:lvlText w:val=""/>
      <w:lvlJc w:val="left"/>
    </w:lvl>
    <w:lvl w:ilvl="4" w:tplc="FDBE30AC">
      <w:numFmt w:val="decimal"/>
      <w:lvlText w:val=""/>
      <w:lvlJc w:val="left"/>
    </w:lvl>
    <w:lvl w:ilvl="5" w:tplc="91F4BF88">
      <w:numFmt w:val="decimal"/>
      <w:lvlText w:val=""/>
      <w:lvlJc w:val="left"/>
    </w:lvl>
    <w:lvl w:ilvl="6" w:tplc="45183A4C">
      <w:numFmt w:val="decimal"/>
      <w:lvlText w:val=""/>
      <w:lvlJc w:val="left"/>
    </w:lvl>
    <w:lvl w:ilvl="7" w:tplc="E542B9A8">
      <w:numFmt w:val="decimal"/>
      <w:lvlText w:val=""/>
      <w:lvlJc w:val="left"/>
    </w:lvl>
    <w:lvl w:ilvl="8" w:tplc="06E4DC58">
      <w:numFmt w:val="decimal"/>
      <w:lvlText w:val=""/>
      <w:lvlJc w:val="left"/>
    </w:lvl>
  </w:abstractNum>
  <w:abstractNum w:abstractNumId="7" w15:restartNumberingAfterBreak="0">
    <w:nsid w:val="4E3D4B07"/>
    <w:multiLevelType w:val="hybridMultilevel"/>
    <w:tmpl w:val="D556FA2A"/>
    <w:lvl w:ilvl="0" w:tplc="AA840E24">
      <w:start w:val="1"/>
      <w:numFmt w:val="bullet"/>
      <w:lvlText w:val="●"/>
      <w:lvlJc w:val="left"/>
      <w:pPr>
        <w:ind w:left="720" w:hanging="360"/>
      </w:pPr>
    </w:lvl>
    <w:lvl w:ilvl="1" w:tplc="BCE6485E">
      <w:start w:val="1"/>
      <w:numFmt w:val="bullet"/>
      <w:lvlText w:val="○"/>
      <w:lvlJc w:val="left"/>
      <w:pPr>
        <w:ind w:left="1440" w:hanging="360"/>
      </w:pPr>
    </w:lvl>
    <w:lvl w:ilvl="2" w:tplc="98A0BFD0">
      <w:start w:val="1"/>
      <w:numFmt w:val="bullet"/>
      <w:lvlText w:val="■"/>
      <w:lvlJc w:val="left"/>
      <w:pPr>
        <w:ind w:left="2160" w:hanging="360"/>
      </w:pPr>
    </w:lvl>
    <w:lvl w:ilvl="3" w:tplc="00C278B6">
      <w:start w:val="1"/>
      <w:numFmt w:val="bullet"/>
      <w:lvlText w:val="●"/>
      <w:lvlJc w:val="left"/>
      <w:pPr>
        <w:ind w:left="2880" w:hanging="360"/>
      </w:pPr>
    </w:lvl>
    <w:lvl w:ilvl="4" w:tplc="77E03D14">
      <w:start w:val="1"/>
      <w:numFmt w:val="bullet"/>
      <w:lvlText w:val="○"/>
      <w:lvlJc w:val="left"/>
      <w:pPr>
        <w:ind w:left="3600" w:hanging="360"/>
      </w:pPr>
    </w:lvl>
    <w:lvl w:ilvl="5" w:tplc="7F50B0BE">
      <w:start w:val="1"/>
      <w:numFmt w:val="bullet"/>
      <w:lvlText w:val="■"/>
      <w:lvlJc w:val="left"/>
      <w:pPr>
        <w:ind w:left="4320" w:hanging="360"/>
      </w:pPr>
    </w:lvl>
    <w:lvl w:ilvl="6" w:tplc="1FDA3994">
      <w:start w:val="1"/>
      <w:numFmt w:val="bullet"/>
      <w:lvlText w:val="●"/>
      <w:lvlJc w:val="left"/>
      <w:pPr>
        <w:ind w:left="5040" w:hanging="360"/>
      </w:pPr>
    </w:lvl>
    <w:lvl w:ilvl="7" w:tplc="2EAC0026">
      <w:start w:val="1"/>
      <w:numFmt w:val="bullet"/>
      <w:lvlText w:val="●"/>
      <w:lvlJc w:val="left"/>
      <w:pPr>
        <w:ind w:left="5760" w:hanging="360"/>
      </w:pPr>
    </w:lvl>
    <w:lvl w:ilvl="8" w:tplc="20AE2EAC">
      <w:start w:val="1"/>
      <w:numFmt w:val="bullet"/>
      <w:lvlText w:val="●"/>
      <w:lvlJc w:val="left"/>
      <w:pPr>
        <w:ind w:left="6480" w:hanging="360"/>
      </w:pPr>
    </w:lvl>
  </w:abstractNum>
  <w:abstractNum w:abstractNumId="8" w15:restartNumberingAfterBreak="0">
    <w:nsid w:val="554328F6"/>
    <w:multiLevelType w:val="hybridMultilevel"/>
    <w:tmpl w:val="30520B98"/>
    <w:lvl w:ilvl="0" w:tplc="1A404D8E">
      <w:start w:val="1"/>
      <w:numFmt w:val="decimal"/>
      <w:lvlText w:val="%1."/>
      <w:lvlJc w:val="left"/>
      <w:pPr>
        <w:ind w:left="576" w:hanging="360"/>
      </w:pPr>
    </w:lvl>
    <w:lvl w:ilvl="1" w:tplc="B0A05F84">
      <w:numFmt w:val="decimal"/>
      <w:lvlText w:val=""/>
      <w:lvlJc w:val="left"/>
    </w:lvl>
    <w:lvl w:ilvl="2" w:tplc="B75A8C06">
      <w:numFmt w:val="decimal"/>
      <w:lvlText w:val=""/>
      <w:lvlJc w:val="left"/>
    </w:lvl>
    <w:lvl w:ilvl="3" w:tplc="4ACE15C6">
      <w:numFmt w:val="decimal"/>
      <w:lvlText w:val=""/>
      <w:lvlJc w:val="left"/>
    </w:lvl>
    <w:lvl w:ilvl="4" w:tplc="94B8F376">
      <w:numFmt w:val="decimal"/>
      <w:lvlText w:val=""/>
      <w:lvlJc w:val="left"/>
    </w:lvl>
    <w:lvl w:ilvl="5" w:tplc="979E0F7C">
      <w:numFmt w:val="decimal"/>
      <w:lvlText w:val=""/>
      <w:lvlJc w:val="left"/>
    </w:lvl>
    <w:lvl w:ilvl="6" w:tplc="7BAA89F0">
      <w:numFmt w:val="decimal"/>
      <w:lvlText w:val=""/>
      <w:lvlJc w:val="left"/>
    </w:lvl>
    <w:lvl w:ilvl="7" w:tplc="2E40C688">
      <w:numFmt w:val="decimal"/>
      <w:lvlText w:val=""/>
      <w:lvlJc w:val="left"/>
    </w:lvl>
    <w:lvl w:ilvl="8" w:tplc="F5B26A6E">
      <w:numFmt w:val="decimal"/>
      <w:lvlText w:val=""/>
      <w:lvlJc w:val="left"/>
    </w:lvl>
  </w:abstractNum>
  <w:abstractNum w:abstractNumId="9" w15:restartNumberingAfterBreak="0">
    <w:nsid w:val="561074BC"/>
    <w:multiLevelType w:val="hybridMultilevel"/>
    <w:tmpl w:val="537E5A08"/>
    <w:lvl w:ilvl="0" w:tplc="80DC0ED4">
      <w:start w:val="1"/>
      <w:numFmt w:val="decimal"/>
      <w:lvlText w:val="%1."/>
      <w:lvlJc w:val="left"/>
      <w:pPr>
        <w:ind w:left="576" w:hanging="360"/>
      </w:pPr>
    </w:lvl>
    <w:lvl w:ilvl="1" w:tplc="4B5C77A6">
      <w:numFmt w:val="decimal"/>
      <w:lvlText w:val=""/>
      <w:lvlJc w:val="left"/>
    </w:lvl>
    <w:lvl w:ilvl="2" w:tplc="9708BC5A">
      <w:numFmt w:val="decimal"/>
      <w:lvlText w:val=""/>
      <w:lvlJc w:val="left"/>
    </w:lvl>
    <w:lvl w:ilvl="3" w:tplc="6ED41FFA">
      <w:numFmt w:val="decimal"/>
      <w:lvlText w:val=""/>
      <w:lvlJc w:val="left"/>
    </w:lvl>
    <w:lvl w:ilvl="4" w:tplc="FC420AFE">
      <w:numFmt w:val="decimal"/>
      <w:lvlText w:val=""/>
      <w:lvlJc w:val="left"/>
    </w:lvl>
    <w:lvl w:ilvl="5" w:tplc="F1AA8778">
      <w:numFmt w:val="decimal"/>
      <w:lvlText w:val=""/>
      <w:lvlJc w:val="left"/>
    </w:lvl>
    <w:lvl w:ilvl="6" w:tplc="ADECC7C6">
      <w:numFmt w:val="decimal"/>
      <w:lvlText w:val=""/>
      <w:lvlJc w:val="left"/>
    </w:lvl>
    <w:lvl w:ilvl="7" w:tplc="8A64A524">
      <w:numFmt w:val="decimal"/>
      <w:lvlText w:val=""/>
      <w:lvlJc w:val="left"/>
    </w:lvl>
    <w:lvl w:ilvl="8" w:tplc="F7D0A76E">
      <w:numFmt w:val="decimal"/>
      <w:lvlText w:val=""/>
      <w:lvlJc w:val="left"/>
    </w:lvl>
  </w:abstractNum>
  <w:abstractNum w:abstractNumId="10" w15:restartNumberingAfterBreak="0">
    <w:nsid w:val="56275B2F"/>
    <w:multiLevelType w:val="hybridMultilevel"/>
    <w:tmpl w:val="DDB283D8"/>
    <w:lvl w:ilvl="0" w:tplc="6316B218">
      <w:start w:val="1"/>
      <w:numFmt w:val="decimal"/>
      <w:lvlText w:val="%1."/>
      <w:lvlJc w:val="left"/>
      <w:pPr>
        <w:ind w:left="576" w:hanging="360"/>
      </w:pPr>
    </w:lvl>
    <w:lvl w:ilvl="1" w:tplc="D1A40D36">
      <w:numFmt w:val="decimal"/>
      <w:lvlText w:val=""/>
      <w:lvlJc w:val="left"/>
    </w:lvl>
    <w:lvl w:ilvl="2" w:tplc="1FB029BE">
      <w:numFmt w:val="decimal"/>
      <w:lvlText w:val=""/>
      <w:lvlJc w:val="left"/>
    </w:lvl>
    <w:lvl w:ilvl="3" w:tplc="CEE84DBA">
      <w:numFmt w:val="decimal"/>
      <w:lvlText w:val=""/>
      <w:lvlJc w:val="left"/>
    </w:lvl>
    <w:lvl w:ilvl="4" w:tplc="2DB26F3E">
      <w:numFmt w:val="decimal"/>
      <w:lvlText w:val=""/>
      <w:lvlJc w:val="left"/>
    </w:lvl>
    <w:lvl w:ilvl="5" w:tplc="359E8094">
      <w:numFmt w:val="decimal"/>
      <w:lvlText w:val=""/>
      <w:lvlJc w:val="left"/>
    </w:lvl>
    <w:lvl w:ilvl="6" w:tplc="278C8CA2">
      <w:numFmt w:val="decimal"/>
      <w:lvlText w:val=""/>
      <w:lvlJc w:val="left"/>
    </w:lvl>
    <w:lvl w:ilvl="7" w:tplc="C9C29A3E">
      <w:numFmt w:val="decimal"/>
      <w:lvlText w:val=""/>
      <w:lvlJc w:val="left"/>
    </w:lvl>
    <w:lvl w:ilvl="8" w:tplc="D1E4932E">
      <w:numFmt w:val="decimal"/>
      <w:lvlText w:val=""/>
      <w:lvlJc w:val="left"/>
    </w:lvl>
  </w:abstractNum>
  <w:abstractNum w:abstractNumId="11" w15:restartNumberingAfterBreak="0">
    <w:nsid w:val="567336BF"/>
    <w:multiLevelType w:val="hybridMultilevel"/>
    <w:tmpl w:val="FD0EBB1E"/>
    <w:lvl w:ilvl="0" w:tplc="02E8F938">
      <w:start w:val="1"/>
      <w:numFmt w:val="bullet"/>
      <w:lvlText w:val="•"/>
      <w:lvlJc w:val="left"/>
      <w:pPr>
        <w:ind w:left="504" w:hanging="288"/>
      </w:pPr>
    </w:lvl>
    <w:lvl w:ilvl="1" w:tplc="6972BAD0">
      <w:start w:val="1"/>
      <w:numFmt w:val="bullet"/>
      <w:lvlText w:val="◦"/>
      <w:lvlJc w:val="left"/>
      <w:pPr>
        <w:ind w:left="1008" w:hanging="288"/>
      </w:pPr>
    </w:lvl>
    <w:lvl w:ilvl="2" w:tplc="2ECCA9B8">
      <w:numFmt w:val="decimal"/>
      <w:lvlText w:val=""/>
      <w:lvlJc w:val="left"/>
    </w:lvl>
    <w:lvl w:ilvl="3" w:tplc="63B0B9FC">
      <w:numFmt w:val="decimal"/>
      <w:lvlText w:val=""/>
      <w:lvlJc w:val="left"/>
    </w:lvl>
    <w:lvl w:ilvl="4" w:tplc="9698AB26">
      <w:numFmt w:val="decimal"/>
      <w:lvlText w:val=""/>
      <w:lvlJc w:val="left"/>
    </w:lvl>
    <w:lvl w:ilvl="5" w:tplc="43D6C146">
      <w:numFmt w:val="decimal"/>
      <w:lvlText w:val=""/>
      <w:lvlJc w:val="left"/>
    </w:lvl>
    <w:lvl w:ilvl="6" w:tplc="2ABCD422">
      <w:numFmt w:val="decimal"/>
      <w:lvlText w:val=""/>
      <w:lvlJc w:val="left"/>
    </w:lvl>
    <w:lvl w:ilvl="7" w:tplc="B7E07C00">
      <w:numFmt w:val="decimal"/>
      <w:lvlText w:val=""/>
      <w:lvlJc w:val="left"/>
    </w:lvl>
    <w:lvl w:ilvl="8" w:tplc="A790B4D8">
      <w:numFmt w:val="decimal"/>
      <w:lvlText w:val=""/>
      <w:lvlJc w:val="left"/>
    </w:lvl>
  </w:abstractNum>
  <w:abstractNum w:abstractNumId="12" w15:restartNumberingAfterBreak="0">
    <w:nsid w:val="609F7082"/>
    <w:multiLevelType w:val="hybridMultilevel"/>
    <w:tmpl w:val="142C2560"/>
    <w:lvl w:ilvl="0" w:tplc="4D38AFA8">
      <w:start w:val="1"/>
      <w:numFmt w:val="decimal"/>
      <w:lvlText w:val="%1."/>
      <w:lvlJc w:val="left"/>
      <w:pPr>
        <w:ind w:left="576" w:hanging="360"/>
      </w:pPr>
    </w:lvl>
    <w:lvl w:ilvl="1" w:tplc="2CB8DD2A">
      <w:numFmt w:val="decimal"/>
      <w:lvlText w:val=""/>
      <w:lvlJc w:val="left"/>
    </w:lvl>
    <w:lvl w:ilvl="2" w:tplc="49FEEA88">
      <w:numFmt w:val="decimal"/>
      <w:lvlText w:val=""/>
      <w:lvlJc w:val="left"/>
    </w:lvl>
    <w:lvl w:ilvl="3" w:tplc="F5AC5F08">
      <w:numFmt w:val="decimal"/>
      <w:lvlText w:val=""/>
      <w:lvlJc w:val="left"/>
    </w:lvl>
    <w:lvl w:ilvl="4" w:tplc="10CCE0C6">
      <w:numFmt w:val="decimal"/>
      <w:lvlText w:val=""/>
      <w:lvlJc w:val="left"/>
    </w:lvl>
    <w:lvl w:ilvl="5" w:tplc="A358EA1A">
      <w:numFmt w:val="decimal"/>
      <w:lvlText w:val=""/>
      <w:lvlJc w:val="left"/>
    </w:lvl>
    <w:lvl w:ilvl="6" w:tplc="9ACAA59C">
      <w:numFmt w:val="decimal"/>
      <w:lvlText w:val=""/>
      <w:lvlJc w:val="left"/>
    </w:lvl>
    <w:lvl w:ilvl="7" w:tplc="C4B4E546">
      <w:numFmt w:val="decimal"/>
      <w:lvlText w:val=""/>
      <w:lvlJc w:val="left"/>
    </w:lvl>
    <w:lvl w:ilvl="8" w:tplc="46CA2FEE">
      <w:numFmt w:val="decimal"/>
      <w:lvlText w:val=""/>
      <w:lvlJc w:val="left"/>
    </w:lvl>
  </w:abstractNum>
  <w:abstractNum w:abstractNumId="13" w15:restartNumberingAfterBreak="0">
    <w:nsid w:val="6B0606BD"/>
    <w:multiLevelType w:val="multilevel"/>
    <w:tmpl w:val="560ED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7754226">
    <w:abstractNumId w:val="7"/>
    <w:lvlOverride w:ilvl="0">
      <w:startOverride w:val="1"/>
    </w:lvlOverride>
  </w:num>
  <w:num w:numId="2" w16cid:durableId="1370908527">
    <w:abstractNumId w:val="11"/>
    <w:lvlOverride w:ilvl="0">
      <w:startOverride w:val="1"/>
    </w:lvlOverride>
  </w:num>
  <w:num w:numId="3" w16cid:durableId="1954095165">
    <w:abstractNumId w:val="0"/>
    <w:lvlOverride w:ilvl="0">
      <w:startOverride w:val="1"/>
    </w:lvlOverride>
  </w:num>
  <w:num w:numId="4" w16cid:durableId="1195576943">
    <w:abstractNumId w:val="4"/>
    <w:lvlOverride w:ilvl="0">
      <w:startOverride w:val="1"/>
    </w:lvlOverride>
  </w:num>
  <w:num w:numId="5" w16cid:durableId="1900631944">
    <w:abstractNumId w:val="12"/>
    <w:lvlOverride w:ilvl="0">
      <w:startOverride w:val="1"/>
    </w:lvlOverride>
  </w:num>
  <w:num w:numId="6" w16cid:durableId="663315843">
    <w:abstractNumId w:val="5"/>
    <w:lvlOverride w:ilvl="0">
      <w:startOverride w:val="1"/>
    </w:lvlOverride>
  </w:num>
  <w:num w:numId="7" w16cid:durableId="156923929">
    <w:abstractNumId w:val="2"/>
    <w:lvlOverride w:ilvl="0">
      <w:startOverride w:val="1"/>
    </w:lvlOverride>
  </w:num>
  <w:num w:numId="8" w16cid:durableId="2094667222">
    <w:abstractNumId w:val="3"/>
    <w:lvlOverride w:ilvl="0">
      <w:startOverride w:val="1"/>
    </w:lvlOverride>
  </w:num>
  <w:num w:numId="9" w16cid:durableId="1936858513">
    <w:abstractNumId w:val="1"/>
    <w:lvlOverride w:ilvl="0">
      <w:startOverride w:val="1"/>
    </w:lvlOverride>
  </w:num>
  <w:num w:numId="10" w16cid:durableId="806629832">
    <w:abstractNumId w:val="9"/>
    <w:lvlOverride w:ilvl="0">
      <w:startOverride w:val="1"/>
    </w:lvlOverride>
  </w:num>
  <w:num w:numId="11" w16cid:durableId="1784768126">
    <w:abstractNumId w:val="6"/>
    <w:lvlOverride w:ilvl="0">
      <w:startOverride w:val="1"/>
    </w:lvlOverride>
  </w:num>
  <w:num w:numId="12" w16cid:durableId="1225067878">
    <w:abstractNumId w:val="10"/>
    <w:lvlOverride w:ilvl="0">
      <w:startOverride w:val="1"/>
    </w:lvlOverride>
  </w:num>
  <w:num w:numId="13" w16cid:durableId="138042411">
    <w:abstractNumId w:val="8"/>
    <w:lvlOverride w:ilvl="0">
      <w:startOverride w:val="1"/>
    </w:lvlOverride>
  </w:num>
  <w:num w:numId="14" w16cid:durableId="17834982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008"/>
    <w:rsid w:val="00270008"/>
    <w:rsid w:val="00464B8D"/>
    <w:rsid w:val="006B6B2C"/>
    <w:rsid w:val="00767186"/>
    <w:rsid w:val="00807F67"/>
    <w:rsid w:val="00812C6A"/>
    <w:rsid w:val="00CE4296"/>
    <w:rsid w:val="00D37C81"/>
    <w:rsid w:val="00F120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98D25"/>
  <w15:docId w15:val="{E33AEEE5-414B-4C4D-83D4-00E16F929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Forte">
    <w:name w:val="Strong"/>
    <w:basedOn w:val="Fontepargpadro"/>
    <w:uiPriority w:val="22"/>
    <w:qFormat/>
    <w:rsid w:val="00CE42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3166</Words>
  <Characters>17100</Characters>
  <Application>Microsoft Office Word</Application>
  <DocSecurity>0</DocSecurity>
  <Lines>142</Lines>
  <Paragraphs>40</Paragraphs>
  <ScaleCrop>false</ScaleCrop>
  <Company/>
  <LinksUpToDate>false</LinksUpToDate>
  <CharactersWithSpaces>20226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Marcelo Miura</cp:lastModifiedBy>
  <cp:revision>2</cp:revision>
  <cp:lastPrinted>2026-08-11T20:01:00Z</cp:lastPrinted>
  <dcterms:created xsi:type="dcterms:W3CDTF">2026-08-13T16:57:00Z</dcterms:created>
  <dcterms:modified xsi:type="dcterms:W3CDTF">2026-08-13T16:57:00Z</dcterms:modified>
</cp:coreProperties>
</file>