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200"/>
        <w:rPr>
          <w:b/>
          <w:b/>
          <w:bCs/>
          <w:color w:val="1C2D5A"/>
          <w:sz w:val="56"/>
          <w:szCs w:val="56"/>
        </w:rPr>
      </w:pPr>
      <w:r>
        <w:rPr>
          <w:b/>
          <w:bCs/>
          <w:color w:val="1C2D5A"/>
          <w:sz w:val="56"/>
          <w:szCs w:val="56"/>
        </w:rPr>
        <w:t>PE Sub Platform</w:t>
      </w:r>
    </w:p>
    <w:p>
      <w:pPr>
        <w:pStyle w:val="Normal"/>
        <w:spacing w:before="0" w:after="120"/>
        <w:rPr>
          <w:color w:val="2E75B6"/>
          <w:sz w:val="36"/>
          <w:szCs w:val="36"/>
        </w:rPr>
      </w:pPr>
      <w:r>
        <w:rPr>
          <w:color w:val="2E75B6"/>
          <w:sz w:val="36"/>
          <w:szCs w:val="36"/>
        </w:rPr>
        <w:t>Solution Design Document</w:t>
      </w:r>
    </w:p>
    <w:p>
      <w:pPr>
        <w:pStyle w:val="Normal"/>
        <w:spacing w:before="0" w:after="400"/>
        <w:rPr>
          <w:color w:val="666666"/>
          <w:sz w:val="22"/>
          <w:szCs w:val="22"/>
        </w:rPr>
      </w:pPr>
      <w:r>
        <w:rPr>
          <w:color w:val="666666"/>
          <w:sz w:val="22"/>
          <w:szCs w:val="22"/>
        </w:rPr>
        <w:t>Version 1.0  ·  June 2026  ·  CONFIDENTIAL</w:t>
      </w:r>
    </w:p>
    <w:p>
      <w:pPr>
        <w:pStyle w:val="Normal"/>
        <w:spacing w:before="0" w:after="60"/>
        <w:rPr/>
      </w:pPr>
      <w:r>
        <w:rPr>
          <w:b/>
          <w:bCs/>
          <w:sz w:val="22"/>
          <w:szCs w:val="22"/>
        </w:rPr>
        <w:t>Prepared by:</w:t>
      </w:r>
      <w:r>
        <w:rPr>
          <w:sz w:val="22"/>
          <w:szCs w:val="22"/>
        </w:rPr>
        <w:t xml:space="preserve">  UBS Credit Technology — PE Sub Finance Team</w:t>
      </w:r>
    </w:p>
    <w:p>
      <w:pPr>
        <w:pStyle w:val="Normal"/>
        <w:spacing w:before="0" w:after="60"/>
        <w:rPr/>
      </w:pPr>
      <w:r>
        <w:rPr>
          <w:b/>
          <w:bCs/>
          <w:sz w:val="22"/>
          <w:szCs w:val="22"/>
        </w:rPr>
        <w:t>Status:</w:t>
      </w:r>
      <w:r>
        <w:rPr>
          <w:sz w:val="22"/>
          <w:szCs w:val="22"/>
        </w:rPr>
        <w:t xml:space="preserve">  Draft — For Review</w:t>
      </w:r>
    </w:p>
    <w:p>
      <w:pPr>
        <w:pStyle w:val="Normal"/>
        <w:spacing w:before="0" w:after="60"/>
        <w:rPr/>
      </w:pPr>
      <w:r>
        <w:rPr>
          <w:b/>
          <w:bCs/>
          <w:sz w:val="22"/>
          <w:szCs w:val="22"/>
        </w:rPr>
        <w:t>Audience:</w:t>
      </w:r>
      <w:r>
        <w:rPr>
          <w:sz w:val="22"/>
          <w:szCs w:val="22"/>
        </w:rPr>
        <w:t xml:space="preserve">  UBS Technology Leadership, Credit Risk, Compliance</w:t>
      </w:r>
    </w:p>
    <w:p>
      <w:pPr>
        <w:pStyle w:val="Normal"/>
        <w:rPr/>
      </w:pPr>
      <w:r>
        <w:rPr/>
        <w:br/>
      </w:r>
    </w:p>
    <w:p>
      <w:pPr>
        <w:pStyle w:val="Heading1"/>
        <w:spacing w:before="400" w:after="120"/>
        <w:rPr/>
      </w:pPr>
      <w:r>
        <w:rPr/>
        <w:t>1. Executive Summary</w:t>
      </w:r>
    </w:p>
    <w:p>
      <w:pPr>
        <w:pStyle w:val="Normal"/>
        <w:spacing w:before="0" w:after="100"/>
        <w:rPr>
          <w:sz w:val="22"/>
          <w:szCs w:val="22"/>
        </w:rPr>
      </w:pPr>
      <w:r>
        <w:rPr>
          <w:sz w:val="22"/>
          <w:szCs w:val="22"/>
        </w:rPr>
        <w:t>This document describes the production solution design for the PE Sub Platform — a purpose-built system for UBS Bank's participation in private equity subscription credit facilities. It covers the target architecture, data model, API specification, matching algorithms, real-time calculation strategy, caching, access control, and phased delivery plan.</w:t>
      </w:r>
    </w:p>
    <w:p>
      <w:pPr>
        <w:pStyle w:val="Normal"/>
        <w:spacing w:before="0" w:after="100"/>
        <w:rPr>
          <w:sz w:val="22"/>
          <w:szCs w:val="22"/>
        </w:rPr>
      </w:pPr>
      <w:r>
        <w:rPr>
          <w:sz w:val="22"/>
          <w:szCs w:val="22"/>
        </w:rPr>
        <w:t>The immediate predecessor of this document is a fully functional React 18 prototype (developed May 2026) that demonstrates the complete credit officer workflow — from Agent BB upload through LP name matching to Shadow BB calculation and certification — using a simulated data layer. The production system replaces that simulated layer with persistent services, a PostgreSQL database, and real-time APIs while preserving the validated UX and business logic.</w:t>
      </w:r>
    </w:p>
    <w:p>
      <w:pPr>
        <w:pStyle w:val="Heading2"/>
        <w:spacing w:before="280" w:after="80"/>
        <w:rPr/>
      </w:pPr>
      <w:r>
        <w:rPr/>
        <w:t>1.1 Scope</w:t>
      </w:r>
    </w:p>
    <w:p>
      <w:pPr>
        <w:pStyle w:val="ListParagraph"/>
        <w:numPr>
          <w:ilvl w:val="0"/>
          <w:numId w:val="3"/>
        </w:numPr>
        <w:spacing w:before="0" w:after="60"/>
        <w:rPr/>
      </w:pPr>
      <w:r>
        <w:rPr>
          <w:sz w:val="22"/>
          <w:szCs w:val="22"/>
        </w:rPr>
        <w:t xml:space="preserve">Ingestion of Agent Borrowing Base certificates via manual upload; Credit </w:t>
      </w:r>
      <w:r>
        <w:rPr>
          <w:sz w:val="22"/>
          <w:szCs w:val="22"/>
        </w:rPr>
        <w:t>Analysts</w:t>
      </w:r>
      <w:r>
        <w:rPr>
          <w:sz w:val="22"/>
          <w:szCs w:val="22"/>
        </w:rPr>
        <w:t xml:space="preserve"> download from deal site portals (SyndTrak, Intralinks, Debt Domain) and upload to the platform </w:t>
      </w:r>
      <w:r>
        <w:rPr>
          <w:sz w:val="22"/>
          <w:szCs w:val="22"/>
        </w:rPr>
        <w:t>(in Excel format)</w:t>
      </w:r>
    </w:p>
    <w:p>
      <w:pPr>
        <w:pStyle w:val="ListParagraph"/>
        <w:numPr>
          <w:ilvl w:val="0"/>
          <w:numId w:val="1"/>
        </w:numPr>
        <w:spacing w:before="0" w:after="60"/>
        <w:rPr>
          <w:sz w:val="22"/>
          <w:szCs w:val="22"/>
        </w:rPr>
      </w:pPr>
      <w:r>
        <w:rPr>
          <w:sz w:val="22"/>
          <w:szCs w:val="22"/>
        </w:rPr>
        <w:t>LP name disambiguation using Jaro-Winkler and Levenshtein similarity with configurable confidence thresholds</w:t>
      </w:r>
    </w:p>
    <w:p>
      <w:pPr>
        <w:pStyle w:val="ListParagraph"/>
        <w:numPr>
          <w:ilvl w:val="0"/>
          <w:numId w:val="1"/>
        </w:numPr>
        <w:spacing w:before="0" w:after="60"/>
        <w:rPr>
          <w:sz w:val="22"/>
          <w:szCs w:val="22"/>
        </w:rPr>
      </w:pPr>
      <w:r>
        <w:rPr>
          <w:sz w:val="22"/>
          <w:szCs w:val="22"/>
        </w:rPr>
        <w:t>Shadow Borrowing Base calculation applying UBS credit agreement rules (advance rates, concentration limits, eligibility)</w:t>
      </w:r>
    </w:p>
    <w:p>
      <w:pPr>
        <w:pStyle w:val="ListParagraph"/>
        <w:numPr>
          <w:ilvl w:val="0"/>
          <w:numId w:val="1"/>
        </w:numPr>
        <w:spacing w:before="0" w:after="60"/>
        <w:rPr>
          <w:sz w:val="22"/>
          <w:szCs w:val="22"/>
        </w:rPr>
      </w:pPr>
      <w:r>
        <w:rPr>
          <w:sz w:val="22"/>
          <w:szCs w:val="22"/>
        </w:rPr>
        <w:t>Credit officer review workflow with audit trail and version history</w:t>
      </w:r>
    </w:p>
    <w:p>
      <w:pPr>
        <w:pStyle w:val="ListParagraph"/>
        <w:numPr>
          <w:ilvl w:val="0"/>
          <w:numId w:val="1"/>
        </w:numPr>
        <w:spacing w:before="0" w:after="60"/>
        <w:rPr>
          <w:sz w:val="22"/>
          <w:szCs w:val="22"/>
        </w:rPr>
      </w:pPr>
      <w:r>
        <w:rPr>
          <w:sz w:val="22"/>
          <w:szCs w:val="22"/>
        </w:rPr>
        <w:t>Integration with UBS Azure Active Directory (SSO) and Master Access Control (MAC) entitlements system</w:t>
      </w:r>
    </w:p>
    <w:p>
      <w:pPr>
        <w:pStyle w:val="ListParagraph"/>
        <w:numPr>
          <w:ilvl w:val="0"/>
          <w:numId w:val="1"/>
        </w:numPr>
        <w:spacing w:before="0" w:after="60"/>
        <w:rPr>
          <w:sz w:val="22"/>
          <w:szCs w:val="22"/>
        </w:rPr>
      </w:pPr>
      <w:r>
        <w:rPr>
          <w:sz w:val="22"/>
          <w:szCs w:val="22"/>
        </w:rPr>
        <w:t>Certificate generation, reporting, and 7-year audit retention</w:t>
      </w:r>
    </w:p>
    <w:p>
      <w:pPr>
        <w:pStyle w:val="Heading2"/>
        <w:spacing w:before="280" w:after="80"/>
        <w:rPr/>
      </w:pPr>
      <w:r>
        <w:rPr/>
        <w:t>1.2 Out of Scope (v1)</w:t>
      </w:r>
    </w:p>
    <w:p>
      <w:pPr>
        <w:pStyle w:val="ListParagraph"/>
        <w:numPr>
          <w:ilvl w:val="0"/>
          <w:numId w:val="1"/>
        </w:numPr>
        <w:spacing w:before="0" w:after="60"/>
        <w:rPr>
          <w:sz w:val="22"/>
          <w:szCs w:val="22"/>
        </w:rPr>
      </w:pPr>
      <w:r>
        <w:rPr>
          <w:sz w:val="22"/>
          <w:szCs w:val="22"/>
        </w:rPr>
        <w:t>CMS / credit system draw-down integration (Phase 2)</w:t>
      </w:r>
    </w:p>
    <w:p>
      <w:pPr>
        <w:pStyle w:val="ListParagraph"/>
        <w:numPr>
          <w:ilvl w:val="0"/>
          <w:numId w:val="1"/>
        </w:numPr>
        <w:spacing w:before="0" w:after="60"/>
        <w:rPr>
          <w:sz w:val="22"/>
          <w:szCs w:val="22"/>
        </w:rPr>
      </w:pPr>
      <w:r>
        <w:rPr>
          <w:sz w:val="22"/>
          <w:szCs w:val="22"/>
        </w:rPr>
        <w:t>Multi-tranche facility support (future consideration — not required by current facilities)</w:t>
      </w:r>
    </w:p>
    <w:p>
      <w:pPr>
        <w:pStyle w:val="ListParagraph"/>
        <w:numPr>
          <w:ilvl w:val="0"/>
          <w:numId w:val="1"/>
        </w:numPr>
        <w:spacing w:before="0" w:after="60"/>
        <w:rPr/>
      </w:pPr>
      <w:r>
        <w:rPr>
          <w:sz w:val="22"/>
          <w:szCs w:val="22"/>
        </w:rPr>
        <w:t xml:space="preserve">Any workflows beyond the traditional linear </w:t>
      </w:r>
      <w:r>
        <w:rPr>
          <w:b/>
          <w:bCs/>
          <w:sz w:val="22"/>
          <w:szCs w:val="22"/>
        </w:rPr>
        <w:t>Analyst – Manager Review</w:t>
      </w:r>
      <w:r>
        <w:rPr>
          <w:sz w:val="22"/>
          <w:szCs w:val="22"/>
        </w:rPr>
        <w:t xml:space="preserve"> process.</w:t>
      </w:r>
    </w:p>
    <w:p>
      <w:pPr>
        <w:pStyle w:val="Heading1"/>
        <w:spacing w:before="400" w:after="120"/>
        <w:rPr/>
      </w:pPr>
      <w:r>
        <w:rPr/>
        <w:t>2. Business Context</w:t>
      </w:r>
    </w:p>
    <w:p>
      <w:pPr>
        <w:pStyle w:val="Normal"/>
        <w:spacing w:before="0" w:after="100"/>
        <w:rPr/>
      </w:pPr>
      <w:r>
        <w:rPr>
          <w:sz w:val="22"/>
          <w:szCs w:val="22"/>
        </w:rPr>
        <w:t xml:space="preserve">A subscription credit facility (sub line) is a revolving credit line extended to a private equity fund, secured by the unfunded capital commitments of the fund's Limited Partners (LPs). UBS participates as a lender in approximately </w:t>
      </w:r>
      <w:r>
        <w:rPr>
          <w:sz w:val="22"/>
          <w:szCs w:val="22"/>
        </w:rPr>
        <w:t>70</w:t>
      </w:r>
      <w:r>
        <w:rPr>
          <w:sz w:val="22"/>
          <w:szCs w:val="22"/>
        </w:rPr>
        <w:t xml:space="preserve"> such facilities, each administered by an agent bank (Goldman Sachs, JPMorgan, Citibank, etc.).</w:t>
      </w:r>
    </w:p>
    <w:p>
      <w:pPr>
        <w:pStyle w:val="Normal"/>
        <w:spacing w:before="0" w:after="100"/>
        <w:rPr>
          <w:sz w:val="22"/>
          <w:szCs w:val="22"/>
        </w:rPr>
      </w:pPr>
      <w:r>
        <w:rPr>
          <w:sz w:val="22"/>
          <w:szCs w:val="22"/>
        </w:rPr>
        <w:t>Each month-end, the agent bank calculates and posts a Borrowing Base Certificate to the deal site. UBS Credit Analysts download each certificate, reconcile it against UBS's own LP Master database, apply UBS-specific advance rates and concentration limits, and produce a Shadow Borrowing Base — UBS's independent view of availability.</w:t>
      </w:r>
    </w:p>
    <w:p>
      <w:pPr>
        <w:pStyle w:val="Normal"/>
        <w:spacing w:before="0" w:after="100"/>
        <w:rPr>
          <w:sz w:val="22"/>
          <w:szCs w:val="22"/>
        </w:rPr>
      </w:pPr>
      <w:r>
        <w:rPr>
          <w:sz w:val="22"/>
          <w:szCs w:val="22"/>
        </w:rPr>
        <w:t>The delta between the agent's BB and UBS's Shadow BB drives credit officer conversations with the agent and, where material, escalation to credit risk management.</w:t>
      </w:r>
    </w:p>
    <w:p>
      <w:pPr>
        <w:pStyle w:val="Heading2"/>
        <w:spacing w:before="280" w:after="80"/>
        <w:rPr/>
      </w:pPr>
      <w:r>
        <w:rPr/>
        <w:t>2.1 Monthly Cycle</w:t>
      </w:r>
    </w:p>
    <w:tbl>
      <w:tblPr>
        <w:tblW w:w="5000" w:type="pct"/>
        <w:jc w:val="left"/>
        <w:tblInd w:w="0" w:type="dxa"/>
        <w:tblLayout w:type="fixed"/>
        <w:tblCellMar>
          <w:top w:w="0" w:type="dxa"/>
          <w:left w:w="108" w:type="dxa"/>
          <w:bottom w:w="0" w:type="dxa"/>
          <w:right w:w="108" w:type="dxa"/>
        </w:tblCellMar>
      </w:tblPr>
      <w:tblGrid>
        <w:gridCol w:w="2436"/>
        <w:gridCol w:w="2436"/>
        <w:gridCol w:w="2437"/>
        <w:gridCol w:w="2436"/>
      </w:tblGrid>
      <w:tr>
        <w:trPr>
          <w:tblHeader w:val="true"/>
        </w:trPr>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Phase</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Timing</w:t>
            </w:r>
          </w:p>
        </w:tc>
        <w:tc>
          <w:tcPr>
            <w:tcW w:w="2437"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Actor</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Action</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Month-end close</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Last business day</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System</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As-of date established for all facilities</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Certificate preparation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Days 1–10</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Agent bank</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BB certificate prepared; posted to deal site (SyndTrak / Intralinks / Debt Domain)</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Certificate ingestion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Days 3–12</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Credit Officer</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CO downloads certificate from deal site; uploads to platform via manual file upload; ingestion pipeline triggered</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LP name matching</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Days 3–12</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Platform + Credit Officer</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Algorithm scores all LP names; high-confidence matches auto-accepted; review queue resolved by CO</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Shadow BB calculation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Days 3–12</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Platform</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Full portfolio BB computed; breaches flagged; delta surfaced</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CO review and certification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Days 5–20</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Credit Officer</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Classification disputes resolved; Shadow BB certified; certificate generated</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Cycle complete</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By day 20–25</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Credit Officer</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All facilities certified for the month</w:t>
            </w:r>
          </w:p>
        </w:tc>
      </w:tr>
    </w:tbl>
    <w:p>
      <w:pPr>
        <w:pStyle w:val="Normal"/>
        <w:rPr/>
      </w:pPr>
      <w:r>
        <w:rPr/>
        <w:br/>
      </w:r>
    </w:p>
    <w:p>
      <w:pPr>
        <w:pStyle w:val="Heading1"/>
        <w:spacing w:before="400" w:after="120"/>
        <w:rPr/>
      </w:pPr>
      <w:r>
        <w:rPr/>
        <w:t>3. Target Architecture</w:t>
      </w:r>
    </w:p>
    <w:p>
      <w:pPr>
        <w:pStyle w:val="Heading2"/>
        <w:spacing w:before="280" w:after="80"/>
        <w:rPr/>
      </w:pPr>
      <w:r>
        <w:rPr/>
        <w:t>3.1 Architecture Overview</w:t>
      </w:r>
    </w:p>
    <w:p>
      <w:pPr>
        <w:pStyle w:val="Normal"/>
        <w:spacing w:before="0" w:after="100"/>
        <w:rPr>
          <w:sz w:val="22"/>
          <w:szCs w:val="22"/>
        </w:rPr>
      </w:pPr>
      <w:r>
        <w:rPr>
          <w:sz w:val="22"/>
          <w:szCs w:val="22"/>
        </w:rPr>
        <w:t>The production system is a three-tier web application deployed on Azure Kubernetes Service (AKS):</w:t>
      </w:r>
    </w:p>
    <w:p>
      <w:pPr>
        <w:pStyle w:val="ListParagraph"/>
        <w:numPr>
          <w:ilvl w:val="0"/>
          <w:numId w:val="1"/>
        </w:numPr>
        <w:spacing w:before="0" w:after="60"/>
        <w:rPr>
          <w:sz w:val="22"/>
          <w:szCs w:val="22"/>
        </w:rPr>
      </w:pPr>
      <w:r>
        <w:rPr>
          <w:sz w:val="22"/>
          <w:szCs w:val="22"/>
        </w:rPr>
        <w:t>Presentation tier: React 18 SPA with Redux state management, served from Azure CDN</w:t>
      </w:r>
    </w:p>
    <w:p>
      <w:pPr>
        <w:pStyle w:val="ListParagraph"/>
        <w:numPr>
          <w:ilvl w:val="0"/>
          <w:numId w:val="1"/>
        </w:numPr>
        <w:spacing w:before="0" w:after="60"/>
        <w:rPr>
          <w:sz w:val="22"/>
          <w:szCs w:val="22"/>
        </w:rPr>
      </w:pPr>
      <w:r>
        <w:rPr>
          <w:sz w:val="22"/>
          <w:szCs w:val="22"/>
        </w:rPr>
        <w:t>Application tier: Spring Boot 3.4 microservices on AKS; API Gateway handles routing, JWT validation, and rate limiting</w:t>
      </w:r>
    </w:p>
    <w:p>
      <w:pPr>
        <w:pStyle w:val="ListParagraph"/>
        <w:numPr>
          <w:ilvl w:val="0"/>
          <w:numId w:val="1"/>
        </w:numPr>
        <w:spacing w:before="0" w:after="60"/>
        <w:rPr>
          <w:sz w:val="22"/>
          <w:szCs w:val="22"/>
        </w:rPr>
      </w:pPr>
      <w:r>
        <w:rPr>
          <w:sz w:val="22"/>
          <w:szCs w:val="22"/>
        </w:rPr>
        <w:t>Data tier: PostgreSQL Flexible Server (primary); Azure Blob Storage for documents and generated certificates; Azure Cache for Redis for service-layer caching</w:t>
      </w:r>
    </w:p>
    <w:p>
      <w:pPr>
        <w:pStyle w:val="Heading2"/>
        <w:spacing w:before="280" w:after="80"/>
        <w:rPr/>
      </w:pPr>
      <w:r>
        <w:rPr/>
        <w:t>3.2 Component Map</w:t>
      </w:r>
    </w:p>
    <w:tbl>
      <w:tblPr>
        <w:tblW w:w="5000" w:type="pct"/>
        <w:jc w:val="left"/>
        <w:tblInd w:w="0" w:type="dxa"/>
        <w:tblLayout w:type="fixed"/>
        <w:tblCellMar>
          <w:top w:w="0" w:type="dxa"/>
          <w:left w:w="108" w:type="dxa"/>
          <w:bottom w:w="0" w:type="dxa"/>
          <w:right w:w="108" w:type="dxa"/>
        </w:tblCellMar>
      </w:tblPr>
      <w:tblGrid>
        <w:gridCol w:w="3248"/>
        <w:gridCol w:w="3249"/>
        <w:gridCol w:w="3249"/>
      </w:tblGrid>
      <w:tr>
        <w:trPr>
          <w:tblHeader w:val="true"/>
        </w:trPr>
        <w:tc>
          <w:tcPr>
            <w:tcW w:w="3248"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Component</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Technology</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Role</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React SPA</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React 18 · Redux Toolkit · Vite</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Credit officer workspace; all user interaction</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API Gateway</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Azure API Management</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JWT validation, rate limiting, routing, response caching</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Ingestion Service</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Spring Boot 3.4 · Apache POI</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Multipart file upload; virus scan; Excel parsing; column recognition; normalization</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LP Matching Service</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Spring Boot 3.4 · Apache Commons Text</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Jaro-Winkler + Levenshtein scoring; match queue management; LP Master deduplication</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BB Calculation Service</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Spring Boot 3.4</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Shadow BB engine; tiered BUSA rate application; concentration breach detection; snapshot persistence</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Configuration Service</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Spring Boot 3.4</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Advance rates, eligibility rules, concentration limits, field mapping dictionary</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Reporting Service</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Spring Boot 3.4 · iText 8</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BB certificate PDF generation; CSV export; scheduled report delivery</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Audit Service</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Spring Boot 3.4</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Append-only audit log; 7-year retention; tamper-evidence via record hashing</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PostgreSQL</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Azure PostgreSQL Flexible Server 16</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Primary persistent store for all structured data</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Blob Storage</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Azure Blob Storage</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Raw Agent BB files; generated certificates; export archives</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Redis Cache</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Azure Cache for Redis</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LP Master search results; facility list; credit agreement rules</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Identity</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Azure Active Directory (Entra ID)</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SSO; JWT issuance; group-to-role mapping for MAC entitlements</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Key Vault</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Azure Key Vault</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Connection strings; API keys; encryption key rotation</w:t>
            </w:r>
          </w:p>
        </w:tc>
      </w:tr>
    </w:tbl>
    <w:p>
      <w:pPr>
        <w:pStyle w:val="Heading2"/>
        <w:spacing w:before="280" w:after="80"/>
        <w:rPr/>
      </w:pPr>
      <w:r>
        <w:rPr/>
        <w:t>3.3 Real-time vs. Batch Strategy</w:t>
      </w:r>
    </w:p>
    <w:p>
      <w:pPr>
        <w:pStyle w:val="Heading3"/>
        <w:spacing w:before="200" w:after="60"/>
        <w:rPr/>
      </w:pPr>
      <w:r>
        <w:rPr/>
        <w:t>What "batch" means</w:t>
      </w:r>
    </w:p>
    <w:p>
      <w:pPr>
        <w:pStyle w:val="Normal"/>
        <w:spacing w:before="0" w:after="100"/>
        <w:rPr>
          <w:sz w:val="22"/>
          <w:szCs w:val="22"/>
        </w:rPr>
      </w:pPr>
      <w:r>
        <w:rPr>
          <w:sz w:val="22"/>
          <w:szCs w:val="22"/>
        </w:rPr>
        <w:t>A batch run calculates the Shadow BB for every LP in a submission in a single pass. For a 900-LP facility this is 900 sequential computations — classification lookup, rate application, concentration cap, delta — executed server-side in one transaction. At target scale (2,200 LPs) the full pass completes in under 30 seconds, making it synchronous from the credit officer's perspective. "Batch" means all LPs at once, not a long-running overnight job.</w:t>
      </w:r>
    </w:p>
    <w:p>
      <w:pPr>
        <w:pStyle w:val="Heading3"/>
        <w:spacing w:before="200" w:after="60"/>
        <w:rPr/>
      </w:pPr>
      <w:r>
        <w:rPr/>
        <w:t>What triggers a batch run</w:t>
      </w:r>
    </w:p>
    <w:p>
      <w:pPr>
        <w:pStyle w:val="Normal"/>
        <w:spacing w:before="0" w:after="100"/>
        <w:rPr>
          <w:sz w:val="22"/>
          <w:szCs w:val="22"/>
        </w:rPr>
      </w:pPr>
      <w:r>
        <w:rPr>
          <w:sz w:val="22"/>
          <w:szCs w:val="22"/>
        </w:rPr>
        <w:t>The batch trigger is always a submission event — a specific Agent BB file being ready for calculation. There is no standalone monthly scheduled trigger. The Credit Officer manually downloads the certificate from the deal site, uploads it to the platform, and the system processes it. Calculation is triggered when the upload is processed and auto-accepted matches are confirmed.</w:t>
      </w:r>
    </w:p>
    <w:tbl>
      <w:tblPr>
        <w:tblW w:w="5000" w:type="pct"/>
        <w:jc w:val="left"/>
        <w:tblInd w:w="0" w:type="dxa"/>
        <w:tblLayout w:type="fixed"/>
        <w:tblCellMar>
          <w:top w:w="0" w:type="dxa"/>
          <w:left w:w="108" w:type="dxa"/>
          <w:bottom w:w="0" w:type="dxa"/>
          <w:right w:w="108" w:type="dxa"/>
        </w:tblCellMar>
      </w:tblPr>
      <w:tblGrid>
        <w:gridCol w:w="3248"/>
        <w:gridCol w:w="3249"/>
        <w:gridCol w:w="3249"/>
      </w:tblGrid>
      <w:tr>
        <w:trPr>
          <w:tblHeader w:val="true"/>
        </w:trPr>
        <w:tc>
          <w:tcPr>
            <w:tcW w:w="3248"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Event</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Trigger type</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Who initiates</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CO uploads Agent BB file and upload is processed</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Immediate full batch</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System, after file is parsed and auto-accepted matches are applied</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CO clicks Run Shadow BB in the upload wizard</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Immediate full batch</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Credit Officer</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CO resolves the last pending item in the match queue</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Optional auto-trigger (configurable per facility)</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System</w:t>
            </w:r>
          </w:p>
        </w:tc>
      </w:tr>
    </w:tbl>
    <w:p>
      <w:pPr>
        <w:pStyle w:val="Heading3"/>
        <w:spacing w:before="200" w:after="60"/>
        <w:rPr/>
      </w:pPr>
      <w:r>
        <w:rPr/>
        <w:t>Calculation modes</w:t>
      </w:r>
    </w:p>
    <w:tbl>
      <w:tblPr>
        <w:tblW w:w="5000" w:type="pct"/>
        <w:jc w:val="left"/>
        <w:tblInd w:w="0" w:type="dxa"/>
        <w:tblLayout w:type="fixed"/>
        <w:tblCellMar>
          <w:top w:w="0" w:type="dxa"/>
          <w:left w:w="108" w:type="dxa"/>
          <w:bottom w:w="0" w:type="dxa"/>
          <w:right w:w="108" w:type="dxa"/>
        </w:tblCellMar>
      </w:tblPr>
      <w:tblGrid>
        <w:gridCol w:w="2436"/>
        <w:gridCol w:w="2436"/>
        <w:gridCol w:w="2437"/>
        <w:gridCol w:w="2436"/>
      </w:tblGrid>
      <w:tr>
        <w:trPr>
          <w:tblHeader w:val="true"/>
        </w:trPr>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Mode</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Trigger</w:t>
            </w:r>
          </w:p>
        </w:tc>
        <w:tc>
          <w:tcPr>
            <w:tcW w:w="2437"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Scope</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Expected Latency</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Full batch</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New submission uploaded; CO clicks Run Shadow BB</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All LPs in facility (up to 2,200)</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&lt; 30 seconds for 2,200 LPs</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Incremental real-time</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Single LP reclassified, included/excluded, or match decision confirmed</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One LP + portfolio aggregates recalculated</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&lt; 500 ms; result pushed to client via SSE</w:t>
            </w:r>
          </w:p>
        </w:tc>
      </w:tr>
    </w:tbl>
    <w:p>
      <w:pPr>
        <w:pStyle w:val="Heading3"/>
        <w:spacing w:before="200" w:after="60"/>
        <w:rPr/>
      </w:pPr>
      <w:r>
        <w:rPr/>
        <w:t>The one valid scheduled job</w:t>
      </w:r>
    </w:p>
    <w:p>
      <w:pPr>
        <w:pStyle w:val="Normal"/>
        <w:spacing w:before="0" w:after="100"/>
        <w:rPr>
          <w:sz w:val="22"/>
          <w:szCs w:val="22"/>
        </w:rPr>
      </w:pPr>
      <w:r>
        <w:rPr>
          <w:sz w:val="22"/>
          <w:szCs w:val="22"/>
        </w:rPr>
        <w:t>A nightly background job checks whether any LP Master records have been updated since the last Shadow BB run for each active facility. If a rating change, reclassification, or AUM update affects an LP that appears in a recently certified submission, the platform flags that submission for re-review and notifies the owning Credit Officer. This is a staleness notification, not a monthly batch recalculation — the CO decides whether to re-run the Shadow BB based on the materiality of the change.</w:t>
      </w:r>
    </w:p>
    <w:p>
      <w:pPr>
        <w:pStyle w:val="Heading3"/>
        <w:spacing w:before="200" w:after="60"/>
        <w:rPr/>
      </w:pPr>
      <w:r>
        <w:rPr/>
        <w:t>Real-time incremental detail</w:t>
      </w:r>
    </w:p>
    <w:p>
      <w:pPr>
        <w:pStyle w:val="Normal"/>
        <w:spacing w:before="0" w:after="100"/>
        <w:rPr>
          <w:sz w:val="22"/>
          <w:szCs w:val="22"/>
        </w:rPr>
      </w:pPr>
      <w:r>
        <w:rPr>
          <w:sz w:val="22"/>
          <w:szCs w:val="22"/>
        </w:rPr>
        <w:t>When a CO reclassifies a single LP during review, the BB Calculation Service receives a delta event containing the LP ID and new classification. It recomputes only that LP's contribution, updates the bb_snapshot record in place, recalculates the portfolio-level aggregates (total UBS BB, EAR, delta, breach checks), and emits a Server-Sent Event to all connected clients viewing that submission. The React client patches the Redux store — no full page reload or re-fetch required.</w:t>
      </w:r>
    </w:p>
    <w:p>
      <w:pPr>
        <w:pStyle w:val="Heading2"/>
        <w:spacing w:before="280" w:after="80"/>
        <w:rPr/>
      </w:pPr>
      <w:r>
        <w:rPr/>
        <w:t>3.4 Caching Strategy</w:t>
      </w:r>
    </w:p>
    <w:tbl>
      <w:tblPr>
        <w:tblW w:w="5000" w:type="pct"/>
        <w:jc w:val="left"/>
        <w:tblInd w:w="0" w:type="dxa"/>
        <w:tblLayout w:type="fixed"/>
        <w:tblCellMar>
          <w:top w:w="0" w:type="dxa"/>
          <w:left w:w="108" w:type="dxa"/>
          <w:bottom w:w="0" w:type="dxa"/>
          <w:right w:w="108" w:type="dxa"/>
        </w:tblCellMar>
      </w:tblPr>
      <w:tblGrid>
        <w:gridCol w:w="2436"/>
        <w:gridCol w:w="2436"/>
        <w:gridCol w:w="2437"/>
        <w:gridCol w:w="2436"/>
      </w:tblGrid>
      <w:tr>
        <w:trPr>
          <w:tblHeader w:val="true"/>
        </w:trPr>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Layer</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What is Cached</w:t>
            </w:r>
          </w:p>
        </w:tc>
        <w:tc>
          <w:tcPr>
            <w:tcW w:w="2437"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TTL / Invalidation</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Technology</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Browser (Redux)</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Current submission state; LP Master current page; facility list; user preferences</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Invalidated on write; cleared on logout</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Redux Toolkit + RTK Query</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API Gateway</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Facility list; credit agreement rule sets; field mapping dictionary</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15-minute TTL; invalidated on Config Service write</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Azure API Management response cache</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Service (Redis)</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LP Master search result pages; LP classification lookups by name hash</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60-minute TTL; invalidated on LP Master write</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Azure Cache for Redis</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Database</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BB calculation snapshot (versioned); audit log; match queue decisions</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Permanent; persisted to PostgreSQL</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PostgreSQL read replicas for reporting queries</w:t>
            </w:r>
          </w:p>
        </w:tc>
      </w:tr>
    </w:tbl>
    <w:p>
      <w:pPr>
        <w:pStyle w:val="Normal"/>
        <w:spacing w:before="0" w:after="100"/>
        <w:rPr>
          <w:sz w:val="22"/>
          <w:szCs w:val="22"/>
        </w:rPr>
      </w:pPr>
      <w:r>
        <w:rPr>
          <w:sz w:val="22"/>
          <w:szCs w:val="22"/>
        </w:rPr>
        <w:t>LP Master (20k+ records) is never held in full in the browser. The client requests paginated, filtered slices from the API. Redis caches the most recently accessed pages. A full LP Master load (for export) is a server-side streaming operation — never loaded into browser memory.</w:t>
      </w:r>
    </w:p>
    <w:p>
      <w:pPr>
        <w:pStyle w:val="Normal"/>
        <w:rPr/>
      </w:pPr>
      <w:r>
        <w:rPr/>
        <w:br/>
      </w:r>
    </w:p>
    <w:p>
      <w:pPr>
        <w:pStyle w:val="Heading1"/>
        <w:spacing w:before="400" w:after="120"/>
        <w:rPr/>
      </w:pPr>
      <w:r>
        <w:rPr/>
        <w:t>4. Data Model</w:t>
      </w:r>
    </w:p>
    <w:p>
      <w:pPr>
        <w:pStyle w:val="Heading2"/>
        <w:spacing w:before="280" w:after="80"/>
        <w:rPr/>
      </w:pPr>
      <w:r>
        <w:rPr/>
        <w:t>4.1 Entity Overview</w:t>
      </w:r>
    </w:p>
    <w:tbl>
      <w:tblPr>
        <w:tblW w:w="5000" w:type="pct"/>
        <w:jc w:val="left"/>
        <w:tblInd w:w="0" w:type="dxa"/>
        <w:tblLayout w:type="fixed"/>
        <w:tblCellMar>
          <w:top w:w="0" w:type="dxa"/>
          <w:left w:w="108" w:type="dxa"/>
          <w:bottom w:w="0" w:type="dxa"/>
          <w:right w:w="108" w:type="dxa"/>
        </w:tblCellMar>
      </w:tblPr>
      <w:tblGrid>
        <w:gridCol w:w="3248"/>
        <w:gridCol w:w="3249"/>
        <w:gridCol w:w="3249"/>
      </w:tblGrid>
      <w:tr>
        <w:trPr>
          <w:tblHeader w:val="true"/>
        </w:trPr>
        <w:tc>
          <w:tcPr>
            <w:tcW w:w="3248"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Entity</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Description</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Key Relationships</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lp_master</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Bank-wide canonical LP record; one row per unique LP entity</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Referenced by lp_facility_record and match_queue_item</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facility</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Sub line facility record; one per fund</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Has many submission; has one credit_agreement_rule</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credit_agreement_rule</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Advance rates, concentration limits, eligibility parameters for a facility</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Belongs to facility; versioned with effective_date</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submission</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One Agent BB file ingested for one facility</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Belongs to facility; has many match_queue_item; has one bb_snapshot</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lp_submission_record</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Per-LP computed eligibility, classification, and BB contribution for one submission</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Belongs to submission and lp_master</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match_queue_item</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One LP name matching decision per submission</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Belongs to submission; resolved to lp_master or new_lp_pending</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bb_snapshot</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Immutable persisted result of one Shadow BB calculation run</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Belongs to submission; referenced by audit entries</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audit_log</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Append-only event log for every user and system action</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References facility, submission, lp_master, user by FK</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app_user</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Platform user account; role derived from MAC entitlement group</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References role; owns submissions</w:t>
            </w:r>
          </w:p>
        </w:tc>
      </w:tr>
    </w:tbl>
    <w:p>
      <w:pPr>
        <w:pStyle w:val="Heading2"/>
        <w:spacing w:before="280" w:after="80"/>
        <w:rPr/>
      </w:pPr>
      <w:r>
        <w:rPr/>
        <w:t>4.2 Core Table Definitions</w:t>
      </w:r>
    </w:p>
    <w:p>
      <w:pPr>
        <w:pStyle w:val="Heading3"/>
        <w:spacing w:before="200" w:after="60"/>
        <w:rPr/>
      </w:pPr>
      <w:r>
        <w:rPr/>
        <w:t>lp_master</w:t>
      </w:r>
    </w:p>
    <w:tbl>
      <w:tblPr>
        <w:tblW w:w="5000" w:type="pct"/>
        <w:jc w:val="left"/>
        <w:tblInd w:w="0" w:type="dxa"/>
        <w:tblLayout w:type="fixed"/>
        <w:tblCellMar>
          <w:top w:w="0" w:type="dxa"/>
          <w:left w:w="108" w:type="dxa"/>
          <w:bottom w:w="0" w:type="dxa"/>
          <w:right w:w="108" w:type="dxa"/>
        </w:tblCellMar>
      </w:tblPr>
      <w:tblGrid>
        <w:gridCol w:w="2436"/>
        <w:gridCol w:w="2436"/>
        <w:gridCol w:w="2437"/>
        <w:gridCol w:w="2436"/>
      </w:tblGrid>
      <w:tr>
        <w:trPr>
          <w:tblHeader w:val="true"/>
        </w:trPr>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Column</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Type</w:t>
            </w:r>
          </w:p>
        </w:tc>
        <w:tc>
          <w:tcPr>
            <w:tcW w:w="2437"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Nullable</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Description</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lp_id</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UUID PK</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Surrogate primary key</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canonical_name</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VARCHAR(255)</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Authoritative LP name in UBS records</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parent_lp_id</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UUID FK</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Y</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Self-referential; parent entity for subsidiaries/SPVs</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investor_type</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VARCHAR(60)</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Pension, Endowment, Sovereign Wealth, Insurance, Family Office, etc.</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region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VARCHAR(60)</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North America, EMEA, Asia Pacific, Latin America</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hq_us</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BOOLEAN</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Headquartered in United States</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is_spv</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BOOLEAN</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Special Purpose Vehicle flag</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erisa_subject</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BOOLEAN</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Subject to ERISA plan asset rules</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sp_rating</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VARCHAR(10)</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Y</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S&amp;P long-term issuer credit rating</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moodys_rating</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VARCHAR(10)</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Y</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Moody's long-term rating</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fitch_rating</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VARCHAR(10)</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Y</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Fitch long-term rating</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applicable_rating</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VARCHAR(10)</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Y</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Normalized rating per hierarchy in credit_agreement_rule</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aum_usd</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BIGINT</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Y</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Assets under management in USD (normalized from agent text ranges)</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nav_usd</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BIGINT</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Y</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Net asset value in USD</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classification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VARCHAR(30)</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Rated | Unrated &gt;2bn | Unrated 1–2bn | Eligible | Excluded</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reclassified</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BOOLEAN</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Manual override applied by credit officer</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is_transferee</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BOOLEAN</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LP position acquired by transfer; affects eligibility</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is_investment_grade</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BOOLEAN</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Derived: applicable_rating meets investment-grade threshold</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notes</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TEXT</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Y</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Free-form credit officer annotations</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created_at</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TIMESTAMPTZ</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Record creation timestamp</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updated_at</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TIMESTAMPTZ</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Last modification timestamp</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created_by</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UUID FK → app_user</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User who created the record</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updated_by</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UUID FK → app_user</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User who last modified the record</w:t>
            </w:r>
          </w:p>
        </w:tc>
      </w:tr>
    </w:tbl>
    <w:p>
      <w:pPr>
        <w:pStyle w:val="Heading3"/>
        <w:spacing w:before="200" w:after="60"/>
        <w:rPr/>
      </w:pPr>
      <w:r>
        <w:rPr/>
        <w:t>facility</w:t>
      </w:r>
    </w:p>
    <w:tbl>
      <w:tblPr>
        <w:tblW w:w="5000" w:type="pct"/>
        <w:jc w:val="left"/>
        <w:tblInd w:w="0" w:type="dxa"/>
        <w:tblLayout w:type="fixed"/>
        <w:tblCellMar>
          <w:top w:w="0" w:type="dxa"/>
          <w:left w:w="108" w:type="dxa"/>
          <w:bottom w:w="0" w:type="dxa"/>
          <w:right w:w="108" w:type="dxa"/>
        </w:tblCellMar>
      </w:tblPr>
      <w:tblGrid>
        <w:gridCol w:w="2436"/>
        <w:gridCol w:w="2436"/>
        <w:gridCol w:w="2437"/>
        <w:gridCol w:w="2436"/>
      </w:tblGrid>
      <w:tr>
        <w:trPr>
          <w:tblHeader w:val="true"/>
        </w:trPr>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Column</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Type</w:t>
            </w:r>
          </w:p>
        </w:tc>
        <w:tc>
          <w:tcPr>
            <w:tcW w:w="2437"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Nullable</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Description</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facility_id</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UUID PK</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Surrogate primary key</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facility_name</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VARCHAR(255)</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Fund name (e.g. Blue Owl GP Stakes V)</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agent_bank</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VARCHAR(100)</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Agent bank name</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agent_deal_site</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VARCHAR(30)</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Y</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Deal site where CO downloads the certificate (SyndTrak, Intralinks, Debt Domain, Other); informational only</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facility_size_usd</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BIGINT</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Total facility commitment in USD</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ubs_participation_usd</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BIGINT</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UBS funded participation amount</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credit_agreement_ref</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VARCHAR(50)</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Internal credit agreement reference</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status</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VARCHAR(20)</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Active | Review | Pending | Closed</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created_at</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TIMESTAMPTZ</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pPr>
            <w:r>
              <w:rPr/>
            </w:r>
          </w:p>
        </w:tc>
      </w:tr>
    </w:tbl>
    <w:p>
      <w:pPr>
        <w:pStyle w:val="Heading3"/>
        <w:spacing w:before="200" w:after="60"/>
        <w:rPr/>
      </w:pPr>
      <w:r>
        <w:rPr/>
        <w:t>submission</w:t>
      </w:r>
    </w:p>
    <w:tbl>
      <w:tblPr>
        <w:tblW w:w="5000" w:type="pct"/>
        <w:jc w:val="left"/>
        <w:tblInd w:w="0" w:type="dxa"/>
        <w:tblLayout w:type="fixed"/>
        <w:tblCellMar>
          <w:top w:w="0" w:type="dxa"/>
          <w:left w:w="108" w:type="dxa"/>
          <w:bottom w:w="0" w:type="dxa"/>
          <w:right w:w="108" w:type="dxa"/>
        </w:tblCellMar>
      </w:tblPr>
      <w:tblGrid>
        <w:gridCol w:w="2436"/>
        <w:gridCol w:w="2436"/>
        <w:gridCol w:w="2437"/>
        <w:gridCol w:w="2436"/>
      </w:tblGrid>
      <w:tr>
        <w:trPr>
          <w:tblHeader w:val="true"/>
        </w:trPr>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Column</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Type</w:t>
            </w:r>
          </w:p>
        </w:tc>
        <w:tc>
          <w:tcPr>
            <w:tcW w:w="2437"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Nullable</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Description</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submission_id</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UUID PK</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Surrogate primary key</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facility_id</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UUID FK</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Parent facility</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as_of_date</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DATE</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BB certificate as-of date (typically month-end)</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agent_bank</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VARCHAR(100)</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Agent bank for this submission</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blob_path</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VARCHAR(500)</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Azure Blob Storage path for original Agent BB file</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ingestion_mode</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VARCHAR(20)</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Automated | Manual</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status</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VARCHAR(20)</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Ingesting | Extracting | Matching | Calculating | Review | Certified</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lp_count</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INTEGER</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Y</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Total LP rows in Agent BB file</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submitted_by</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UUID FK → app_user</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Credit officer who owns the workflow</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certified_by</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UUID FK → app_user</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Y</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Credit officer who certified the final Shadow BB</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certified_at</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TIMESTAMPTZ</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Y</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Certification timestamp</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created_at</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TIMESTAMPTZ</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r>
          </w:p>
        </w:tc>
      </w:tr>
    </w:tbl>
    <w:p>
      <w:pPr>
        <w:pStyle w:val="Heading3"/>
        <w:spacing w:before="200" w:after="60"/>
        <w:rPr/>
      </w:pPr>
      <w:r>
        <w:rPr/>
        <w:t>lp_submission_record</w:t>
      </w:r>
    </w:p>
    <w:tbl>
      <w:tblPr>
        <w:tblW w:w="5000" w:type="pct"/>
        <w:jc w:val="left"/>
        <w:tblInd w:w="0" w:type="dxa"/>
        <w:tblLayout w:type="fixed"/>
        <w:tblCellMar>
          <w:top w:w="0" w:type="dxa"/>
          <w:left w:w="108" w:type="dxa"/>
          <w:bottom w:w="0" w:type="dxa"/>
          <w:right w:w="108" w:type="dxa"/>
        </w:tblCellMar>
      </w:tblPr>
      <w:tblGrid>
        <w:gridCol w:w="2436"/>
        <w:gridCol w:w="2436"/>
        <w:gridCol w:w="2437"/>
        <w:gridCol w:w="2436"/>
      </w:tblGrid>
      <w:tr>
        <w:trPr>
          <w:tblHeader w:val="true"/>
        </w:trPr>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Column</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Type</w:t>
            </w:r>
          </w:p>
        </w:tc>
        <w:tc>
          <w:tcPr>
            <w:tcW w:w="2437"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Nullable</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Description</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record_id</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UUID PK</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Surrogate primary key</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submission_id</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UUID FK</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Parent submission</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lp_id</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UUID FK → lp_master</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Matched LP</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agent_name</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VARCHAR(255)</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LP name as written by agent in this submission</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agent_classification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VARCHAR(30)</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Y</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Classification as stated by agent</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agent_rate</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NUMERIC(5,4)</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Y</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Advance rate as stated by agent</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agent_conc_limit_usd</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BIGINT</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Y</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Concentration limit as stated by agent</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agent_bb_usd</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BIGINT</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Y</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Agent BB contribution for this LP</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commitment_usd</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BIGINT</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Y</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Total LP commitment</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uncalled_usd</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BIGINT</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Y</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Unfunded/uncalled capital</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ubs_classification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VARCHAR(30)</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UBS-assigned classification (from lp_master or CO override)</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ubs_rate</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NUMERIC(5,4)</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BUSA advance rate applied</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ubs_conc_limit_usd</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BIGINT</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UBS per-LP concentration cap</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ubs_eligible_uncalled_usd</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BIGINT</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MIN(uncalled_usd, ubs_conc_limit_usd)</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conc_excess_usd</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BIGINT</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MAX(0, uncalled_usd – ubs_conc_limit_usd)</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ubs_bb_usd</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BIGINT</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UBS BB = ubs_eligible_uncalled × ubs_rate</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ubs_bb_delta_usd</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BIGINT</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ubs_bb_usd – agent_bb_usd</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ubs_included</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BOOLEAN</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Y = counted in UBS BB aggregates; N = excluded</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reclassified</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BOOLEAN</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CO applied a manual classification override</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reclassify_reason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TEXT</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Y</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Mandatory rationale when reclassified = true</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is_transferee</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BOOLEAN</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Transferee flag for this position</w:t>
            </w:r>
          </w:p>
        </w:tc>
      </w:tr>
    </w:tbl>
    <w:p>
      <w:pPr>
        <w:pStyle w:val="Heading3"/>
        <w:spacing w:before="200" w:after="60"/>
        <w:rPr/>
      </w:pPr>
      <w:r>
        <w:rPr/>
        <w:t>match_queue_item</w:t>
      </w:r>
    </w:p>
    <w:tbl>
      <w:tblPr>
        <w:tblW w:w="5000" w:type="pct"/>
        <w:jc w:val="left"/>
        <w:tblInd w:w="0" w:type="dxa"/>
        <w:tblLayout w:type="fixed"/>
        <w:tblCellMar>
          <w:top w:w="0" w:type="dxa"/>
          <w:left w:w="108" w:type="dxa"/>
          <w:bottom w:w="0" w:type="dxa"/>
          <w:right w:w="108" w:type="dxa"/>
        </w:tblCellMar>
      </w:tblPr>
      <w:tblGrid>
        <w:gridCol w:w="2436"/>
        <w:gridCol w:w="2436"/>
        <w:gridCol w:w="2437"/>
        <w:gridCol w:w="2436"/>
      </w:tblGrid>
      <w:tr>
        <w:trPr>
          <w:tblHeader w:val="true"/>
        </w:trPr>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Column</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Type</w:t>
            </w:r>
          </w:p>
        </w:tc>
        <w:tc>
          <w:tcPr>
            <w:tcW w:w="2437"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Nullable</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Description</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item_id</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UUID PK</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Surrogate primary key</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submission_id</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UUID FK</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Parent submission</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agent_name</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VARCHAR(255)</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Raw LP name from agent BB file</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matched_lp_id</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UUID FK → lp_master</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Y</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Best candidate match from LP Master (null if no match found)</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match_score</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NUMERIC(5,2)</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Y</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Combined Jaro-Winkler + Levenshtein similarity score (0–100)</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match_details</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JSONB</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Y</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Full scoring breakdown: normalization steps, JW score, Lev score, candidate list</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status</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VARCHAR(20)</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Pending | AutoAccepted | Accepted | Rejected | NewLP</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resolved_by</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UUID FK → app_user</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Y</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User who confirmed or rejected the match</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resolved_at</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TIMESTAMPTZ</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Y</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Resolution timestamp</w:t>
            </w:r>
          </w:p>
        </w:tc>
      </w:tr>
    </w:tbl>
    <w:p>
      <w:pPr>
        <w:pStyle w:val="Normal"/>
        <w:rPr/>
      </w:pPr>
      <w:r>
        <w:rPr/>
        <w:br/>
      </w:r>
    </w:p>
    <w:p>
      <w:pPr>
        <w:pStyle w:val="Heading1"/>
        <w:spacing w:before="400" w:after="120"/>
        <w:rPr/>
      </w:pPr>
      <w:r>
        <w:rPr/>
        <w:t>5. API Specification</w:t>
      </w:r>
    </w:p>
    <w:p>
      <w:pPr>
        <w:pStyle w:val="Normal"/>
        <w:spacing w:before="0" w:after="100"/>
        <w:rPr>
          <w:sz w:val="22"/>
          <w:szCs w:val="22"/>
        </w:rPr>
      </w:pPr>
      <w:r>
        <w:rPr>
          <w:sz w:val="22"/>
          <w:szCs w:val="22"/>
        </w:rPr>
        <w:t>All endpoints are RESTful JSON over HTTPS. Authentication via Bearer JWT (Azure AD). Base path: /api/v1.</w:t>
      </w:r>
    </w:p>
    <w:p>
      <w:pPr>
        <w:pStyle w:val="Heading2"/>
        <w:spacing w:before="280" w:after="80"/>
        <w:rPr/>
      </w:pPr>
      <w:r>
        <w:rPr/>
        <w:t>5.1 Facilities</w:t>
      </w:r>
    </w:p>
    <w:tbl>
      <w:tblPr>
        <w:tblW w:w="5000" w:type="pct"/>
        <w:jc w:val="left"/>
        <w:tblInd w:w="0" w:type="dxa"/>
        <w:tblLayout w:type="fixed"/>
        <w:tblCellMar>
          <w:top w:w="0" w:type="dxa"/>
          <w:left w:w="108" w:type="dxa"/>
          <w:bottom w:w="0" w:type="dxa"/>
          <w:right w:w="108" w:type="dxa"/>
        </w:tblCellMar>
      </w:tblPr>
      <w:tblGrid>
        <w:gridCol w:w="2436"/>
        <w:gridCol w:w="2436"/>
        <w:gridCol w:w="2437"/>
        <w:gridCol w:w="2436"/>
      </w:tblGrid>
      <w:tr>
        <w:trPr>
          <w:tblHeader w:val="true"/>
        </w:trPr>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Method</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Path</w:t>
            </w:r>
          </w:p>
        </w:tc>
        <w:tc>
          <w:tcPr>
            <w:tcW w:w="2437"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Description</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Auth</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GET</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/facilities</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List all facilities accessible to the current user</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All roles</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GET</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/facilities/{id}</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Facility detail including current status and latest submission summary</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All roles</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POST</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/facilities</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Create new facility record</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Admin</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PATCH</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/facilities/{id}</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Update facility metadata or status</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Admin</w:t>
            </w:r>
          </w:p>
        </w:tc>
      </w:tr>
    </w:tbl>
    <w:p>
      <w:pPr>
        <w:pStyle w:val="Heading2"/>
        <w:spacing w:before="280" w:after="80"/>
        <w:rPr/>
      </w:pPr>
      <w:r>
        <w:rPr/>
        <w:t>5.2 Submissions</w:t>
      </w:r>
    </w:p>
    <w:tbl>
      <w:tblPr>
        <w:tblW w:w="5000" w:type="pct"/>
        <w:jc w:val="left"/>
        <w:tblInd w:w="0" w:type="dxa"/>
        <w:tblLayout w:type="fixed"/>
        <w:tblCellMar>
          <w:top w:w="0" w:type="dxa"/>
          <w:left w:w="108" w:type="dxa"/>
          <w:bottom w:w="0" w:type="dxa"/>
          <w:right w:w="108" w:type="dxa"/>
        </w:tblCellMar>
      </w:tblPr>
      <w:tblGrid>
        <w:gridCol w:w="2436"/>
        <w:gridCol w:w="2436"/>
        <w:gridCol w:w="2437"/>
        <w:gridCol w:w="2436"/>
      </w:tblGrid>
      <w:tr>
        <w:trPr>
          <w:tblHeader w:val="true"/>
        </w:trPr>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Method</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Path</w:t>
            </w:r>
          </w:p>
        </w:tc>
        <w:tc>
          <w:tcPr>
            <w:tcW w:w="2437"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Description</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Auth</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GET</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/submissions?facility={id}</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List submissions for a facility</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All roles</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POST</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/submissions/upload</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Upload Agent BB file (multipart/form-data); triggers ingestion pipeline</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CO, Supervisor, Admin</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GET</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/submissions/{id}</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Submission detail and current status</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All roles</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POST</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/submissions/{id}/run-bb</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Trigger full Shadow BB calculation for this submission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Owner CO, Supervisor, Admin</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POST</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/submissions/{id}/certify</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Certify the Shadow BB; locks the snapshot</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Owner CO, Supervisor, Admin</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GET</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/submissions/{id}/events</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Server-Sent Events stream for real-time status updates</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All roles</w:t>
            </w:r>
          </w:p>
        </w:tc>
      </w:tr>
    </w:tbl>
    <w:p>
      <w:pPr>
        <w:pStyle w:val="Heading2"/>
        <w:spacing w:before="280" w:after="80"/>
        <w:rPr/>
      </w:pPr>
      <w:r>
        <w:rPr/>
        <w:t>5.3 LP Master</w:t>
      </w:r>
    </w:p>
    <w:tbl>
      <w:tblPr>
        <w:tblW w:w="5000" w:type="pct"/>
        <w:jc w:val="left"/>
        <w:tblInd w:w="0" w:type="dxa"/>
        <w:tblLayout w:type="fixed"/>
        <w:tblCellMar>
          <w:top w:w="0" w:type="dxa"/>
          <w:left w:w="108" w:type="dxa"/>
          <w:bottom w:w="0" w:type="dxa"/>
          <w:right w:w="108" w:type="dxa"/>
        </w:tblCellMar>
      </w:tblPr>
      <w:tblGrid>
        <w:gridCol w:w="2436"/>
        <w:gridCol w:w="2436"/>
        <w:gridCol w:w="2437"/>
        <w:gridCol w:w="2436"/>
      </w:tblGrid>
      <w:tr>
        <w:trPr>
          <w:tblHeader w:val="true"/>
        </w:trPr>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Method</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Path</w:t>
            </w:r>
          </w:p>
        </w:tc>
        <w:tc>
          <w:tcPr>
            <w:tcW w:w="2437"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Description</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Auth</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GET</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/lp-master</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Paginated, filtered LP list; supports q, classification, region, facility filters</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All roles</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GET</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/lp-master/{id}</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Full LP record with version history</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All roles</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PATCH</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/lp-master/{id}</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Update classification, ratings, AUM, notes; triggers reclassification audit entry</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CO, Supervisor</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POST</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/lp-master/{id}/reclassify</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Override classification with mandatory reason; logged; triggers incremental BB recalc</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CO, Supervisor</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GET</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/lp-master/export</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Streaming CSV export of full LP Master (35 fields); server-side generation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All roles</w:t>
            </w:r>
          </w:p>
        </w:tc>
      </w:tr>
    </w:tbl>
    <w:p>
      <w:pPr>
        <w:pStyle w:val="Heading2"/>
        <w:spacing w:before="280" w:after="80"/>
        <w:rPr/>
      </w:pPr>
      <w:r>
        <w:rPr/>
        <w:t>5.4 Match Queue</w:t>
      </w:r>
    </w:p>
    <w:tbl>
      <w:tblPr>
        <w:tblW w:w="5000" w:type="pct"/>
        <w:jc w:val="left"/>
        <w:tblInd w:w="0" w:type="dxa"/>
        <w:tblLayout w:type="fixed"/>
        <w:tblCellMar>
          <w:top w:w="0" w:type="dxa"/>
          <w:left w:w="108" w:type="dxa"/>
          <w:bottom w:w="0" w:type="dxa"/>
          <w:right w:w="108" w:type="dxa"/>
        </w:tblCellMar>
      </w:tblPr>
      <w:tblGrid>
        <w:gridCol w:w="2436"/>
        <w:gridCol w:w="2436"/>
        <w:gridCol w:w="2437"/>
        <w:gridCol w:w="2436"/>
      </w:tblGrid>
      <w:tr>
        <w:trPr>
          <w:tblHeader w:val="true"/>
        </w:trPr>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Method</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Path</w:t>
            </w:r>
          </w:p>
        </w:tc>
        <w:tc>
          <w:tcPr>
            <w:tcW w:w="2437"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Description</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Auth</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GET</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/submissions/{id}/match-queue</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Match queue for a submission; filterable by status and score range</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All roles</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GET</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/submissions/{id}/match-queue/{itemId}</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Single match item with full scoring breakdown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All roles</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POST</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/submissions/{id}/match-queue/{itemId}/resolve</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Accept or reject a match; body: {action: "accept"|"reject"|"new_lp", lp_id?, reason?}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Owner CO, Supervisor, Admin</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POST</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/submissions/{id}/match-queue/resolve-bulk</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Batch accept all auto-accept threshold items</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Owner CO, Supervisor, Admin</w:t>
            </w:r>
          </w:p>
        </w:tc>
      </w:tr>
    </w:tbl>
    <w:p>
      <w:pPr>
        <w:pStyle w:val="Heading2"/>
        <w:spacing w:before="280" w:after="80"/>
        <w:rPr/>
      </w:pPr>
      <w:r>
        <w:rPr/>
        <w:t>5.5 Shadow BB</w:t>
      </w:r>
    </w:p>
    <w:tbl>
      <w:tblPr>
        <w:tblW w:w="5000" w:type="pct"/>
        <w:jc w:val="left"/>
        <w:tblInd w:w="0" w:type="dxa"/>
        <w:tblLayout w:type="fixed"/>
        <w:tblCellMar>
          <w:top w:w="0" w:type="dxa"/>
          <w:left w:w="108" w:type="dxa"/>
          <w:bottom w:w="0" w:type="dxa"/>
          <w:right w:w="108" w:type="dxa"/>
        </w:tblCellMar>
      </w:tblPr>
      <w:tblGrid>
        <w:gridCol w:w="2436"/>
        <w:gridCol w:w="2436"/>
        <w:gridCol w:w="2437"/>
        <w:gridCol w:w="2436"/>
      </w:tblGrid>
      <w:tr>
        <w:trPr>
          <w:tblHeader w:val="true"/>
        </w:trPr>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Method</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Path</w:t>
            </w:r>
          </w:p>
        </w:tc>
        <w:tc>
          <w:tcPr>
            <w:tcW w:w="2437"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Description</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Auth</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GET</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/submissions/{id}/shadow-bb</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Full LP-level Shadow BB results for a submission (paginated)</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All roles</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GET</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/submissions/{id}/shadow-bb/summary</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Portfolio summary: UBS BB, Agent BB, delta, EAR, breach list</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All roles</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PATCH</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/submissions/{id}/shadow-bb/lp/{lpId}</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Toggle ubs_included for one LP; triggers incremental recalc</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Owner CO, Supervisor, Admin</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GET</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/submissions/{id}/shadow-bb/export</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Export Shadow BB as Excel; streamed server-side</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All roles</w:t>
            </w:r>
          </w:p>
        </w:tc>
      </w:tr>
    </w:tbl>
    <w:p>
      <w:pPr>
        <w:pStyle w:val="Heading2"/>
        <w:spacing w:before="280" w:after="80"/>
        <w:rPr/>
      </w:pPr>
      <w:r>
        <w:rPr/>
        <w:t>5.6 Configuration</w:t>
      </w:r>
    </w:p>
    <w:tbl>
      <w:tblPr>
        <w:tblW w:w="5000" w:type="pct"/>
        <w:jc w:val="left"/>
        <w:tblInd w:w="0" w:type="dxa"/>
        <w:tblLayout w:type="fixed"/>
        <w:tblCellMar>
          <w:top w:w="0" w:type="dxa"/>
          <w:left w:w="108" w:type="dxa"/>
          <w:bottom w:w="0" w:type="dxa"/>
          <w:right w:w="108" w:type="dxa"/>
        </w:tblCellMar>
      </w:tblPr>
      <w:tblGrid>
        <w:gridCol w:w="2436"/>
        <w:gridCol w:w="2436"/>
        <w:gridCol w:w="2437"/>
        <w:gridCol w:w="2436"/>
      </w:tblGrid>
      <w:tr>
        <w:trPr>
          <w:tblHeader w:val="true"/>
        </w:trPr>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Method</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Path</w:t>
            </w:r>
          </w:p>
        </w:tc>
        <w:tc>
          <w:tcPr>
            <w:tcW w:w="2437"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Description</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Auth</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GET</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/config/rates</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Current BUSA and Agent advance rate schedules</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Supervisor, Admin</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PUT</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/config/rates</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Update rate schedule; creates new versioned record with effective_date</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Admin</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GET</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/config/eligibility-rules</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Active eligibility rules</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Supervisor, Admin</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PATCH</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/config/eligibility-rules/{id}</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Toggle rule active/inactive</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Admin</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GET</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/config/field-mapping</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Canonical field alias dictionary</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Supervisor, Admin</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POST</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/config/field-mapping</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Add custom alias entry</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Admin</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DELETE</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/config/field-mapping/{id}</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Remove custom alias</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Admin</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GET</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/config/match-thresholds</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Current auto-accept and review thresholds</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Supervisor, Admin</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PUT</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/config/match-thresholds</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Update thresholds; retroactively re-scores pending queue items</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Admin</w:t>
            </w:r>
          </w:p>
        </w:tc>
      </w:tr>
    </w:tbl>
    <w:p>
      <w:pPr>
        <w:pStyle w:val="Heading2"/>
        <w:spacing w:before="280" w:after="80"/>
        <w:rPr/>
      </w:pPr>
      <w:r>
        <w:rPr/>
        <w:t>5.7 Reports and Audit</w:t>
      </w:r>
    </w:p>
    <w:tbl>
      <w:tblPr>
        <w:tblW w:w="5000" w:type="pct"/>
        <w:jc w:val="left"/>
        <w:tblInd w:w="0" w:type="dxa"/>
        <w:tblLayout w:type="fixed"/>
        <w:tblCellMar>
          <w:top w:w="0" w:type="dxa"/>
          <w:left w:w="108" w:type="dxa"/>
          <w:bottom w:w="0" w:type="dxa"/>
          <w:right w:w="108" w:type="dxa"/>
        </w:tblCellMar>
      </w:tblPr>
      <w:tblGrid>
        <w:gridCol w:w="2436"/>
        <w:gridCol w:w="2436"/>
        <w:gridCol w:w="2437"/>
        <w:gridCol w:w="2436"/>
      </w:tblGrid>
      <w:tr>
        <w:trPr>
          <w:tblHeader w:val="true"/>
        </w:trPr>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Method</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Path</w:t>
            </w:r>
          </w:p>
        </w:tc>
        <w:tc>
          <w:tcPr>
            <w:tcW w:w="2437"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Description</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Auth</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POST</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/reports/bb-certificate</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Generate BB certificate PDF or XLSX; body specifies facility, snapshot, format, watermark</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All roles</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GET</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/audit-log</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Query audit log; filters: facility, user, event_type, date range; paginated</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CO (own), Supervisor, Admin</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GET</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/audit-log/export</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Export audit log as signed PDF; server-side generation</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Supervisor, Admin</w:t>
            </w:r>
          </w:p>
        </w:tc>
      </w:tr>
    </w:tbl>
    <w:p>
      <w:pPr>
        <w:pStyle w:val="Normal"/>
        <w:rPr/>
      </w:pPr>
      <w:r>
        <w:rPr/>
        <w:br/>
      </w:r>
    </w:p>
    <w:p>
      <w:pPr>
        <w:pStyle w:val="Heading1"/>
        <w:spacing w:before="400" w:after="120"/>
        <w:rPr/>
      </w:pPr>
      <w:r>
        <w:rPr/>
        <w:t>6. LP Name Matching Algorithm</w:t>
      </w:r>
    </w:p>
    <w:p>
      <w:pPr>
        <w:pStyle w:val="Heading2"/>
        <w:spacing w:before="280" w:after="80"/>
        <w:rPr/>
      </w:pPr>
      <w:r>
        <w:rPr/>
        <w:t>6.1 Overview</w:t>
      </w:r>
    </w:p>
    <w:p>
      <w:pPr>
        <w:pStyle w:val="Normal"/>
        <w:spacing w:before="0" w:after="100"/>
        <w:rPr>
          <w:sz w:val="22"/>
          <w:szCs w:val="22"/>
        </w:rPr>
      </w:pPr>
      <w:r>
        <w:rPr>
          <w:sz w:val="22"/>
          <w:szCs w:val="22"/>
        </w:rPr>
        <w:t>Every Agent BB submission contains LP names formatted according to the agent bank's internal conventions. These names frequently differ from the canonical names in UBS's LP Master. The matching engine scores each agent name against LP Master candidates and assigns a confidence score that determines whether the match is auto-accepted or queued for credit officer review.</w:t>
      </w:r>
    </w:p>
    <w:p>
      <w:pPr>
        <w:pStyle w:val="Heading2"/>
        <w:spacing w:before="280" w:after="80"/>
        <w:rPr/>
      </w:pPr>
      <w:r>
        <w:rPr/>
        <w:t>6.2 Normalization Pipeline</w:t>
      </w:r>
    </w:p>
    <w:p>
      <w:pPr>
        <w:pStyle w:val="Normal"/>
        <w:spacing w:before="0" w:after="100"/>
        <w:rPr>
          <w:sz w:val="22"/>
          <w:szCs w:val="22"/>
        </w:rPr>
      </w:pPr>
      <w:r>
        <w:rPr>
          <w:sz w:val="22"/>
          <w:szCs w:val="22"/>
        </w:rPr>
        <w:t>Before scoring, both the agent name and each LP Master candidate pass through the same normalization pipeline:</w:t>
      </w:r>
    </w:p>
    <w:tbl>
      <w:tblPr>
        <w:tblW w:w="5000" w:type="pct"/>
        <w:jc w:val="left"/>
        <w:tblInd w:w="0" w:type="dxa"/>
        <w:tblLayout w:type="fixed"/>
        <w:tblCellMar>
          <w:top w:w="0" w:type="dxa"/>
          <w:left w:w="108" w:type="dxa"/>
          <w:bottom w:w="0" w:type="dxa"/>
          <w:right w:w="108" w:type="dxa"/>
        </w:tblCellMar>
      </w:tblPr>
      <w:tblGrid>
        <w:gridCol w:w="3248"/>
        <w:gridCol w:w="3249"/>
        <w:gridCol w:w="3249"/>
      </w:tblGrid>
      <w:tr>
        <w:trPr>
          <w:tblHeader w:val="true"/>
        </w:trPr>
        <w:tc>
          <w:tcPr>
            <w:tcW w:w="3248"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Step</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Operation</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Example</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1. Case fold</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Lowercase all characters</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CalPERS → calpers</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2. Punctuation strip</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Remove . , - ( )</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"J.P. Morgan" → "j p morgan"</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3. Whitespace collapse</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Replace multiple spaces with single space</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  " → " "</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4. Legal suffix strip</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Remove LLC, LP, Ltd, Corp, Inc, Co., et al.</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"Apex Capital LLC" → "apex capital"</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5. Abbreviation expansion</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Known abbreviation map: CPPIB → canada pension plan investment board</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"CPPIB" → "canada pension plan investment board"</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6. Retirement suffix normalize</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Ret. Sys. → retirement system; Ret. → retirement</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"Texas Teachers Ret. Sys." → "texas teachers retirement system"</w:t>
            </w:r>
          </w:p>
        </w:tc>
      </w:tr>
    </w:tbl>
    <w:p>
      <w:pPr>
        <w:pStyle w:val="Heading2"/>
        <w:spacing w:before="280" w:after="80"/>
        <w:rPr/>
      </w:pPr>
      <w:r>
        <w:rPr/>
        <w:t>6.3 Similarity Scoring</w:t>
      </w:r>
    </w:p>
    <w:p>
      <w:pPr>
        <w:pStyle w:val="Normal"/>
        <w:spacing w:before="0" w:after="100"/>
        <w:rPr>
          <w:sz w:val="22"/>
          <w:szCs w:val="22"/>
        </w:rPr>
      </w:pPr>
      <w:r>
        <w:rPr>
          <w:sz w:val="22"/>
          <w:szCs w:val="22"/>
        </w:rPr>
        <w:t>The combined confidence score is a weighted average of two string similarity metrics, each computed on the normalized forms:</w:t>
      </w:r>
    </w:p>
    <w:tbl>
      <w:tblPr>
        <w:tblW w:w="5000" w:type="pct"/>
        <w:jc w:val="left"/>
        <w:tblInd w:w="0" w:type="dxa"/>
        <w:tblLayout w:type="fixed"/>
        <w:tblCellMar>
          <w:top w:w="0" w:type="dxa"/>
          <w:left w:w="108" w:type="dxa"/>
          <w:bottom w:w="0" w:type="dxa"/>
          <w:right w:w="108" w:type="dxa"/>
        </w:tblCellMar>
      </w:tblPr>
      <w:tblGrid>
        <w:gridCol w:w="2436"/>
        <w:gridCol w:w="2436"/>
        <w:gridCol w:w="2437"/>
        <w:gridCol w:w="2436"/>
      </w:tblGrid>
      <w:tr>
        <w:trPr>
          <w:tblHeader w:val="true"/>
        </w:trPr>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Metric</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Weight</w:t>
            </w:r>
          </w:p>
        </w:tc>
        <w:tc>
          <w:tcPr>
            <w:tcW w:w="2437"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Strengths</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Implementation</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Jaro-Winkler</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60%</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Favours prefix agreement; handles transpositions; robust on short strings</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Apache Commons Text JaroWinklerSimilarity</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Levenshtein (normalized)</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40%</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Counts character-level edit operations; handles insertions and deletions well</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Apache Commons Text LevenshteinDistance; normalized by max(len_a, len_b)</w:t>
            </w:r>
          </w:p>
        </w:tc>
      </w:tr>
    </w:tbl>
    <w:p>
      <w:pPr>
        <w:pStyle w:val="Normal"/>
        <w:spacing w:before="0" w:after="100"/>
        <w:rPr>
          <w:sz w:val="22"/>
          <w:szCs w:val="22"/>
        </w:rPr>
      </w:pPr>
      <w:r>
        <w:rPr>
          <w:sz w:val="22"/>
          <w:szCs w:val="22"/>
        </w:rPr>
        <w:t>Combined Score = ((JW × 0.60) + ((1 – Lev_normalized) × 0.40)) × 100</w:t>
      </w:r>
    </w:p>
    <w:p>
      <w:pPr>
        <w:pStyle w:val="Normal"/>
        <w:spacing w:before="0" w:after="100"/>
        <w:rPr>
          <w:sz w:val="22"/>
          <w:szCs w:val="22"/>
        </w:rPr>
      </w:pPr>
      <w:r>
        <w:rPr>
          <w:sz w:val="22"/>
          <w:szCs w:val="22"/>
        </w:rPr>
        <w:t>The score is computed against the top-5 LP Master candidates returned by a PostgreSQL pg_trgm trigram similarity pre-filter. The pre-filter limits full scoring to a manageable candidate set without sacrificing recall.</w:t>
      </w:r>
    </w:p>
    <w:p>
      <w:pPr>
        <w:pStyle w:val="Heading2"/>
        <w:spacing w:before="280" w:after="80"/>
        <w:rPr/>
      </w:pPr>
      <w:r>
        <w:rPr/>
        <w:t>6.4 Confidence Thresholds</w:t>
      </w:r>
    </w:p>
    <w:tbl>
      <w:tblPr>
        <w:tblW w:w="5000" w:type="pct"/>
        <w:jc w:val="left"/>
        <w:tblInd w:w="0" w:type="dxa"/>
        <w:tblLayout w:type="fixed"/>
        <w:tblCellMar>
          <w:top w:w="0" w:type="dxa"/>
          <w:left w:w="108" w:type="dxa"/>
          <w:bottom w:w="0" w:type="dxa"/>
          <w:right w:w="108" w:type="dxa"/>
        </w:tblCellMar>
      </w:tblPr>
      <w:tblGrid>
        <w:gridCol w:w="2436"/>
        <w:gridCol w:w="2436"/>
        <w:gridCol w:w="2437"/>
        <w:gridCol w:w="2436"/>
      </w:tblGrid>
      <w:tr>
        <w:trPr>
          <w:tblHeader w:val="true"/>
        </w:trPr>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Threshold</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Default Value</w:t>
            </w:r>
          </w:p>
        </w:tc>
        <w:tc>
          <w:tcPr>
            <w:tcW w:w="2437"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Outcome</w:t>
            </w:r>
          </w:p>
        </w:tc>
        <w:tc>
          <w:tcPr>
            <w:tcW w:w="2436"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Configurable?</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Auto-accept</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 xml:space="preserve">≥ </w:t>
            </w:r>
            <w:r>
              <w:rPr>
                <w:sz w:val="20"/>
                <w:szCs w:val="20"/>
              </w:rPr>
              <w:t>95</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Match confirmed automatically; no credit officer action required; logged as AutoAccepted</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Yes — Admin via Match Thresholds screen</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Manual review (high)</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80 – 94</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Queued for CO review; algorithm's top candidate displayed with full scoring breakdown</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Yes</w:t>
            </w:r>
          </w:p>
        </w:tc>
      </w:tr>
      <w:tr>
        <w:trPr/>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Manual review (low)</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50 – 79</w:t>
            </w:r>
          </w:p>
        </w:tc>
        <w:tc>
          <w:tcPr>
            <w:tcW w:w="2437"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Queued for CO review; multiple candidates shown; CO must select or create new LP</w:t>
            </w:r>
          </w:p>
        </w:tc>
        <w:tc>
          <w:tcPr>
            <w:tcW w:w="2436"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Yes</w:t>
            </w:r>
          </w:p>
        </w:tc>
      </w:tr>
      <w:tr>
        <w:trPr/>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No match</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&lt; 50</w:t>
            </w:r>
          </w:p>
        </w:tc>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Queued as potential new LP; CO confirms whether to create a new LP Master record</w:t>
            </w:r>
          </w:p>
        </w:tc>
        <w:tc>
          <w:tcPr>
            <w:tcW w:w="2436"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Yes</w:t>
            </w:r>
          </w:p>
        </w:tc>
      </w:tr>
    </w:tbl>
    <w:p>
      <w:pPr>
        <w:pStyle w:val="Normal"/>
        <w:pBdr>
          <w:left w:val="single" w:sz="24" w:space="0" w:color="2E75B6"/>
        </w:pBdr>
        <w:shd w:val="clear" w:fill="F2F4F8"/>
        <w:spacing w:before="60" w:after="100"/>
        <w:rPr>
          <w:i/>
          <w:i/>
          <w:iCs/>
          <w:color w:val="444444"/>
          <w:sz w:val="20"/>
          <w:szCs w:val="20"/>
        </w:rPr>
      </w:pPr>
      <w:r>
        <w:rPr>
          <w:i/>
          <w:iCs/>
          <w:color w:val="444444"/>
          <w:sz w:val="20"/>
          <w:szCs w:val="20"/>
        </w:rPr>
        <w:t xml:space="preserve">📌  </w:t>
      </w:r>
      <w:r>
        <w:rPr>
          <w:i/>
          <w:iCs/>
          <w:color w:val="444444"/>
          <w:sz w:val="20"/>
          <w:szCs w:val="20"/>
        </w:rPr>
        <w:t>Threshold changes take effect immediately and retroactively re-score all Pending items in the active match queue. Items already resolved (Accepted/Rejected) are not affected.</w:t>
      </w:r>
    </w:p>
    <w:p>
      <w:pPr>
        <w:pStyle w:val="Heading2"/>
        <w:spacing w:before="280" w:after="80"/>
        <w:rPr/>
      </w:pPr>
      <w:r>
        <w:rPr/>
        <w:t>6.5 Match Analysis Output</w:t>
      </w:r>
    </w:p>
    <w:p>
      <w:pPr>
        <w:pStyle w:val="Normal"/>
        <w:spacing w:before="0" w:after="100"/>
        <w:rPr>
          <w:sz w:val="22"/>
          <w:szCs w:val="22"/>
        </w:rPr>
      </w:pPr>
      <w:r>
        <w:rPr>
          <w:sz w:val="22"/>
          <w:szCs w:val="22"/>
        </w:rPr>
        <w:t>For every queued item, the service persists a match_details JSONB payload containing:</w:t>
      </w:r>
    </w:p>
    <w:p>
      <w:pPr>
        <w:pStyle w:val="ListParagraph"/>
        <w:numPr>
          <w:ilvl w:val="0"/>
          <w:numId w:val="1"/>
        </w:numPr>
        <w:spacing w:before="0" w:after="60"/>
        <w:rPr>
          <w:sz w:val="22"/>
          <w:szCs w:val="22"/>
        </w:rPr>
      </w:pPr>
      <w:r>
        <w:rPr>
          <w:sz w:val="22"/>
          <w:szCs w:val="22"/>
        </w:rPr>
        <w:t>The normalised agent name (the step-by-step normalisation pipeline is reconstructed for display in the Match Analysis panel)</w:t>
      </w:r>
    </w:p>
    <w:p>
      <w:pPr>
        <w:pStyle w:val="ListParagraph"/>
        <w:numPr>
          <w:ilvl w:val="0"/>
          <w:numId w:val="1"/>
        </w:numPr>
        <w:spacing w:before="0" w:after="60"/>
        <w:rPr>
          <w:sz w:val="22"/>
          <w:szCs w:val="22"/>
        </w:rPr>
      </w:pPr>
      <w:r>
        <w:rPr>
          <w:sz w:val="22"/>
          <w:szCs w:val="22"/>
        </w:rPr>
        <w:t>JW score, Lev score, and combined score for each candidate</w:t>
      </w:r>
    </w:p>
    <w:p>
      <w:pPr>
        <w:pStyle w:val="ListParagraph"/>
        <w:numPr>
          <w:ilvl w:val="0"/>
          <w:numId w:val="1"/>
        </w:numPr>
        <w:spacing w:before="0" w:after="60"/>
        <w:rPr>
          <w:sz w:val="22"/>
          <w:szCs w:val="22"/>
        </w:rPr>
      </w:pPr>
      <w:r>
        <w:rPr>
          <w:sz w:val="22"/>
          <w:szCs w:val="22"/>
        </w:rPr>
        <w:t>Ranked candidate list (top 5)</w:t>
      </w:r>
    </w:p>
    <w:p>
      <w:pPr>
        <w:pStyle w:val="ListParagraph"/>
        <w:numPr>
          <w:ilvl w:val="0"/>
          <w:numId w:val="1"/>
        </w:numPr>
        <w:spacing w:before="0" w:after="60"/>
        <w:rPr>
          <w:sz w:val="22"/>
          <w:szCs w:val="22"/>
        </w:rPr>
      </w:pPr>
      <w:r>
        <w:rPr>
          <w:sz w:val="22"/>
          <w:szCs w:val="22"/>
        </w:rPr>
        <w:t>Threshold band the winning score falls into</w:t>
      </w:r>
    </w:p>
    <w:p>
      <w:pPr>
        <w:pStyle w:val="Normal"/>
        <w:spacing w:before="0" w:after="100"/>
        <w:rPr>
          <w:sz w:val="22"/>
          <w:szCs w:val="22"/>
        </w:rPr>
      </w:pPr>
      <w:r>
        <w:rPr>
          <w:sz w:val="22"/>
          <w:szCs w:val="22"/>
        </w:rPr>
        <w:t>This payload drives the Match Analysis panel in the UI, allowing the credit officer to see exactly why the algorithm ranked candidates as it did.</w:t>
      </w:r>
    </w:p>
    <w:p>
      <w:pPr>
        <w:pStyle w:val="Normal"/>
        <w:rPr/>
      </w:pPr>
      <w:r>
        <w:rPr/>
        <w:br/>
      </w:r>
    </w:p>
    <w:p>
      <w:pPr>
        <w:pStyle w:val="Heading1"/>
        <w:spacing w:before="400" w:after="120"/>
        <w:rPr/>
      </w:pPr>
      <w:r>
        <w:rPr/>
        <w:t>7. Shadow BB Calculation Engine</w:t>
      </w:r>
    </w:p>
    <w:p>
      <w:pPr>
        <w:pStyle w:val="Heading2"/>
        <w:spacing w:before="280" w:after="80"/>
        <w:rPr/>
      </w:pPr>
      <w:r>
        <w:rPr/>
        <w:t>7.1 Shadow BB Calculation — Tiered Rate</w:t>
      </w:r>
    </w:p>
    <w:p>
      <w:pPr>
        <w:pStyle w:val="Normal"/>
        <w:spacing w:before="0" w:after="100"/>
        <w:rPr>
          <w:sz w:val="22"/>
          <w:szCs w:val="22"/>
        </w:rPr>
      </w:pPr>
      <w:r>
        <w:rPr>
          <w:sz w:val="22"/>
          <w:szCs w:val="22"/>
        </w:rPr>
        <w:t>The UBS Shadow BB is calculated per LP as follows:</w:t>
      </w:r>
    </w:p>
    <w:tbl>
      <w:tblPr>
        <w:tblW w:w="5000" w:type="pct"/>
        <w:jc w:val="left"/>
        <w:tblInd w:w="0" w:type="dxa"/>
        <w:tblLayout w:type="fixed"/>
        <w:tblCellMar>
          <w:top w:w="0" w:type="dxa"/>
          <w:left w:w="108" w:type="dxa"/>
          <w:bottom w:w="0" w:type="dxa"/>
          <w:right w:w="108" w:type="dxa"/>
        </w:tblCellMar>
      </w:tblPr>
      <w:tblGrid>
        <w:gridCol w:w="3248"/>
        <w:gridCol w:w="3249"/>
        <w:gridCol w:w="3249"/>
      </w:tblGrid>
      <w:tr>
        <w:trPr>
          <w:tblHeader w:val="true"/>
        </w:trPr>
        <w:tc>
          <w:tcPr>
            <w:tcW w:w="3248"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Step</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Formula</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Notes</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1. Uncalled capital</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uncalled_usd (from submission)</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Agent-reported unfunded commitment</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2. UBS Eligible Uncalled Cap</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MIN(uncalled_usd, ubs_conc_limit_usd)</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Concentration cap from credit agreement</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3. Concentration excess</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MAX(0, uncalled_usd – ubs_conc_limit_usd)</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Excluded from BB; reported separately</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4. BUSA advance rate</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Lookup by ubs_classification (table below)</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Applied to UBS Eligible Uncalled Cap</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5. UBS BB contribution</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ubs_eligible_uncalled_usd × ubs_rate</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LP's contribution to portfolio BB</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6. UBS BB delta</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ubs_bb_usd – agent_bb_usd</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Positive = UBS claims more; negative = UBS is more conservative</w:t>
            </w:r>
          </w:p>
        </w:tc>
      </w:tr>
    </w:tbl>
    <w:p>
      <w:pPr>
        <w:pStyle w:val="Heading2"/>
        <w:spacing w:before="280" w:after="80"/>
        <w:rPr/>
      </w:pPr>
      <w:r>
        <w:rPr/>
        <w:t>7.2 BUSA Advance Rate Schedule</w:t>
      </w:r>
    </w:p>
    <w:tbl>
      <w:tblPr>
        <w:tblW w:w="5000" w:type="pct"/>
        <w:jc w:val="left"/>
        <w:tblInd w:w="0" w:type="dxa"/>
        <w:tblLayout w:type="fixed"/>
        <w:tblCellMar>
          <w:top w:w="0" w:type="dxa"/>
          <w:left w:w="108" w:type="dxa"/>
          <w:bottom w:w="0" w:type="dxa"/>
          <w:right w:w="108" w:type="dxa"/>
        </w:tblCellMar>
      </w:tblPr>
      <w:tblGrid>
        <w:gridCol w:w="3248"/>
        <w:gridCol w:w="3249"/>
        <w:gridCol w:w="3249"/>
      </w:tblGrid>
      <w:tr>
        <w:trPr>
          <w:tblHeader w:val="true"/>
        </w:trPr>
        <w:tc>
          <w:tcPr>
            <w:tcW w:w="3248"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LP Classification</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BUSA Rate</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Eligibility Criterion</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Rated</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90%</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Investment-grade rating from S&amp;P, Moody's, or Fitch per applicable rating hierarchy</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Unrated &gt;$2B AUM</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75%</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No investment-grade rating; AUM &gt; USD 2 billion</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Unrated $1–2B AUM</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65%</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No investment-grade rating; AUM USD 1–2 billion</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Eligible</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50%</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No rating; AUM &lt; USD 1 billion; meets all other eligibility criteria</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Excluded</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0%</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Fails eligibility: ERISA &gt;25%, sanctions, defaulted commitment, or CO-designated</w:t>
            </w:r>
          </w:p>
        </w:tc>
      </w:tr>
    </w:tbl>
    <w:p>
      <w:pPr>
        <w:pStyle w:val="Normal"/>
        <w:pBdr>
          <w:left w:val="single" w:sz="24" w:space="0" w:color="2E75B6"/>
        </w:pBdr>
        <w:shd w:val="clear" w:fill="F2F4F8"/>
        <w:spacing w:before="60" w:after="100"/>
        <w:rPr>
          <w:i/>
          <w:i/>
          <w:iCs/>
          <w:color w:val="444444"/>
          <w:sz w:val="20"/>
          <w:szCs w:val="20"/>
        </w:rPr>
      </w:pPr>
      <w:r>
        <w:rPr>
          <w:i/>
          <w:iCs/>
          <w:color w:val="444444"/>
          <w:sz w:val="20"/>
          <w:szCs w:val="20"/>
        </w:rPr>
        <w:t xml:space="preserve">📌  </w:t>
      </w:r>
      <w:r>
        <w:rPr>
          <w:i/>
          <w:iCs/>
          <w:color w:val="444444"/>
          <w:sz w:val="20"/>
          <w:szCs w:val="20"/>
        </w:rPr>
        <w:t>Multi-tranche support (e.g. a flat-rate second tranche alongside the tiered rate) is not required by current facilities and is a future consideration only.</w:t>
      </w:r>
    </w:p>
    <w:p>
      <w:pPr>
        <w:pStyle w:val="Heading2"/>
        <w:spacing w:before="280" w:after="80"/>
        <w:rPr/>
      </w:pPr>
      <w:r>
        <w:rPr/>
        <w:t>7.4 Portfolio Aggregates</w:t>
      </w:r>
    </w:p>
    <w:tbl>
      <w:tblPr>
        <w:tblW w:w="5000" w:type="pct"/>
        <w:jc w:val="left"/>
        <w:tblInd w:w="0" w:type="dxa"/>
        <w:tblLayout w:type="fixed"/>
        <w:tblCellMar>
          <w:top w:w="0" w:type="dxa"/>
          <w:left w:w="108" w:type="dxa"/>
          <w:bottom w:w="0" w:type="dxa"/>
          <w:right w:w="108" w:type="dxa"/>
        </w:tblCellMar>
      </w:tblPr>
      <w:tblGrid>
        <w:gridCol w:w="4872"/>
        <w:gridCol w:w="4873"/>
      </w:tblGrid>
      <w:tr>
        <w:trPr>
          <w:tblHeader w:val="true"/>
        </w:trPr>
        <w:tc>
          <w:tcPr>
            <w:tcW w:w="4872"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Metric</w:t>
            </w:r>
          </w:p>
        </w:tc>
        <w:tc>
          <w:tcPr>
            <w:tcW w:w="4873"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Formula</w:t>
            </w:r>
          </w:p>
        </w:tc>
      </w:tr>
      <w:tr>
        <w:trPr/>
        <w:tc>
          <w:tcPr>
            <w:tcW w:w="4872"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Total UBS BB</w:t>
            </w:r>
          </w:p>
        </w:tc>
        <w:tc>
          <w:tcPr>
            <w:tcW w:w="4873"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SUM(ubs_bb_usd) WHERE ubs_included = true AND ubs_classification ≠ Excluded</w:t>
            </w:r>
          </w:p>
        </w:tc>
      </w:tr>
      <w:tr>
        <w:trPr/>
        <w:tc>
          <w:tcPr>
            <w:tcW w:w="4872"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Total Agent BB</w:t>
            </w:r>
          </w:p>
        </w:tc>
        <w:tc>
          <w:tcPr>
            <w:tcW w:w="4873"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SUM(agent_bb_usd) for all LPs in submission</w:t>
            </w:r>
          </w:p>
        </w:tc>
      </w:tr>
      <w:tr>
        <w:trPr/>
        <w:tc>
          <w:tcPr>
            <w:tcW w:w="4872"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BB Delta</w:t>
            </w:r>
          </w:p>
        </w:tc>
        <w:tc>
          <w:tcPr>
            <w:tcW w:w="4873"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Total UBS BB – Total Agent BB</w:t>
            </w:r>
          </w:p>
        </w:tc>
      </w:tr>
      <w:tr>
        <w:trPr/>
        <w:tc>
          <w:tcPr>
            <w:tcW w:w="4872"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Total UBS Eligible Uncalled</w:t>
            </w:r>
          </w:p>
        </w:tc>
        <w:tc>
          <w:tcPr>
            <w:tcW w:w="4873"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SUM(ubs_eligible_uncalled_usd) WHERE ubs_included = true</w:t>
            </w:r>
          </w:p>
        </w:tc>
      </w:tr>
      <w:tr>
        <w:trPr/>
        <w:tc>
          <w:tcPr>
            <w:tcW w:w="4872"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Effective Advance Rate (EAR)</w:t>
            </w:r>
          </w:p>
        </w:tc>
        <w:tc>
          <w:tcPr>
            <w:tcW w:w="4873"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Total UBS BB / Total UBS Eligible Uncalled</w:t>
            </w:r>
          </w:p>
        </w:tc>
      </w:tr>
      <w:tr>
        <w:trPr/>
        <w:tc>
          <w:tcPr>
            <w:tcW w:w="4872"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Concentration Excess</w:t>
            </w:r>
          </w:p>
        </w:tc>
        <w:tc>
          <w:tcPr>
            <w:tcW w:w="4873"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SUM(conc_excess_usd) for all LPs</w:t>
            </w:r>
          </w:p>
        </w:tc>
      </w:tr>
    </w:tbl>
    <w:p>
      <w:pPr>
        <w:pStyle w:val="Heading2"/>
        <w:spacing w:before="280" w:after="80"/>
        <w:rPr/>
      </w:pPr>
      <w:r>
        <w:rPr/>
        <w:t>7.5 Concentration Breach Rules</w:t>
      </w:r>
    </w:p>
    <w:tbl>
      <w:tblPr>
        <w:tblW w:w="5000" w:type="pct"/>
        <w:jc w:val="left"/>
        <w:tblInd w:w="0" w:type="dxa"/>
        <w:tblLayout w:type="fixed"/>
        <w:tblCellMar>
          <w:top w:w="0" w:type="dxa"/>
          <w:left w:w="108" w:type="dxa"/>
          <w:bottom w:w="0" w:type="dxa"/>
          <w:right w:w="108" w:type="dxa"/>
        </w:tblCellMar>
      </w:tblPr>
      <w:tblGrid>
        <w:gridCol w:w="3248"/>
        <w:gridCol w:w="3249"/>
        <w:gridCol w:w="3249"/>
      </w:tblGrid>
      <w:tr>
        <w:trPr>
          <w:tblHeader w:val="true"/>
        </w:trPr>
        <w:tc>
          <w:tcPr>
            <w:tcW w:w="3248"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Rule</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Threshold</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Severity</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Single LP concentration</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Any LP's UBS BB &gt; 15% of Total UBS BB</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Breach</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Top-10 LP concentration (breach)</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Top-10 LPs aggregate UBS BB &gt; 60% of Total UBS BB</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Breach</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Top-10 LP concentration (warning)</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Top-10 LPs aggregate UBS BB &gt; 50% of Total UBS BB</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Warning</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Unrated aggregate</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Unrated LPs aggregate UBS BB &gt; 50% of Total UBS BB</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Breach</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Non-US LP aggregate</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Non-US LPs aggregate UBS BB &gt; 30% of Total UBS BB</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Breach</w:t>
            </w:r>
          </w:p>
        </w:tc>
      </w:tr>
    </w:tbl>
    <w:p>
      <w:pPr>
        <w:pStyle w:val="Normal"/>
        <w:pBdr>
          <w:left w:val="single" w:sz="24" w:space="0" w:color="2E75B6"/>
        </w:pBdr>
        <w:shd w:val="clear" w:fill="F2F4F8"/>
        <w:spacing w:before="60" w:after="100"/>
        <w:rPr>
          <w:i/>
          <w:i/>
          <w:iCs/>
          <w:color w:val="444444"/>
          <w:sz w:val="20"/>
          <w:szCs w:val="20"/>
        </w:rPr>
      </w:pPr>
      <w:r>
        <w:rPr>
          <w:i/>
          <w:iCs/>
          <w:color w:val="444444"/>
          <w:sz w:val="20"/>
          <w:szCs w:val="20"/>
        </w:rPr>
        <w:t xml:space="preserve">📌  </w:t>
      </w:r>
      <w:r>
        <w:rPr>
          <w:i/>
          <w:iCs/>
          <w:color w:val="444444"/>
          <w:sz w:val="20"/>
          <w:szCs w:val="20"/>
        </w:rPr>
        <w:t>Breach thresholds are configurable per facility in the Configuration Studio. The defaults above apply where no facility-specific override is set.</w:t>
      </w:r>
    </w:p>
    <w:p>
      <w:pPr>
        <w:pStyle w:val="Normal"/>
        <w:rPr/>
      </w:pPr>
      <w:r>
        <w:rPr/>
        <w:br/>
      </w:r>
    </w:p>
    <w:p>
      <w:pPr>
        <w:pStyle w:val="Heading1"/>
        <w:spacing w:before="400" w:after="120"/>
        <w:rPr/>
      </w:pPr>
      <w:r>
        <w:rPr/>
        <w:t>8. Role-Based Access Control</w:t>
      </w:r>
    </w:p>
    <w:p>
      <w:pPr>
        <w:pStyle w:val="Heading2"/>
        <w:spacing w:before="280" w:after="80"/>
        <w:rPr/>
      </w:pPr>
      <w:r>
        <w:rPr/>
        <w:t>8.1 Roles</w:t>
      </w:r>
    </w:p>
    <w:tbl>
      <w:tblPr>
        <w:tblW w:w="5000" w:type="pct"/>
        <w:jc w:val="left"/>
        <w:tblInd w:w="0" w:type="dxa"/>
        <w:tblLayout w:type="fixed"/>
        <w:tblCellMar>
          <w:top w:w="0" w:type="dxa"/>
          <w:left w:w="108" w:type="dxa"/>
          <w:bottom w:w="0" w:type="dxa"/>
          <w:right w:w="108" w:type="dxa"/>
        </w:tblCellMar>
      </w:tblPr>
      <w:tblGrid>
        <w:gridCol w:w="4872"/>
        <w:gridCol w:w="4873"/>
      </w:tblGrid>
      <w:tr>
        <w:trPr>
          <w:tblHeader w:val="true"/>
        </w:trPr>
        <w:tc>
          <w:tcPr>
            <w:tcW w:w="4872"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Role</w:t>
            </w:r>
          </w:p>
        </w:tc>
        <w:tc>
          <w:tcPr>
            <w:tcW w:w="4873"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Description</w:t>
            </w:r>
          </w:p>
        </w:tc>
      </w:tr>
      <w:tr>
        <w:trPr/>
        <w:tc>
          <w:tcPr>
            <w:tcW w:w="4872"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Credit Officer</w:t>
            </w:r>
          </w:p>
        </w:tc>
        <w:tc>
          <w:tcPr>
            <w:tcW w:w="4873"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Day-to-day operator. Owns submissions they upload. Can view (read-only) all other submissions.</w:t>
            </w:r>
          </w:p>
        </w:tc>
      </w:tr>
      <w:tr>
        <w:trPr/>
        <w:tc>
          <w:tcPr>
            <w:tcW w:w="4872"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Supervisor</w:t>
            </w:r>
          </w:p>
        </w:tc>
        <w:tc>
          <w:tcPr>
            <w:tcW w:w="4873"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Full read and write access across all facilities and submissions. Can reassign workflow ownership.</w:t>
            </w:r>
          </w:p>
        </w:tc>
      </w:tr>
      <w:tr>
        <w:trPr/>
        <w:tc>
          <w:tcPr>
            <w:tcW w:w="4872"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Admin</w:t>
            </w:r>
          </w:p>
        </w:tc>
        <w:tc>
          <w:tcPr>
            <w:tcW w:w="4873"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System configuration and user management. Configures credit agreement rules in Configuration Studio.</w:t>
            </w:r>
          </w:p>
        </w:tc>
      </w:tr>
    </w:tbl>
    <w:p>
      <w:pPr>
        <w:pStyle w:val="Heading2"/>
        <w:spacing w:before="280" w:after="80"/>
        <w:rPr/>
      </w:pPr>
      <w:r>
        <w:rPr/>
        <w:t>8.2 Permission Matrix</w:t>
      </w:r>
    </w:p>
    <w:tbl>
      <w:tblPr>
        <w:tblW w:w="5000" w:type="pct"/>
        <w:jc w:val="left"/>
        <w:tblInd w:w="0" w:type="dxa"/>
        <w:tblLayout w:type="fixed"/>
        <w:tblCellMar>
          <w:top w:w="0" w:type="dxa"/>
          <w:left w:w="108" w:type="dxa"/>
          <w:bottom w:w="0" w:type="dxa"/>
          <w:right w:w="108" w:type="dxa"/>
        </w:tblCellMar>
      </w:tblPr>
      <w:tblGrid>
        <w:gridCol w:w="1949"/>
        <w:gridCol w:w="1949"/>
        <w:gridCol w:w="1949"/>
        <w:gridCol w:w="1949"/>
        <w:gridCol w:w="1950"/>
      </w:tblGrid>
      <w:tr>
        <w:trPr>
          <w:tblHeader w:val="true"/>
        </w:trPr>
        <w:tc>
          <w:tcPr>
            <w:tcW w:w="19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Capability</w:t>
            </w:r>
          </w:p>
        </w:tc>
        <w:tc>
          <w:tcPr>
            <w:tcW w:w="19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Credit Officer (owner)</w:t>
            </w:r>
          </w:p>
        </w:tc>
        <w:tc>
          <w:tcPr>
            <w:tcW w:w="19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Credit Officer (other)</w:t>
            </w:r>
          </w:p>
        </w:tc>
        <w:tc>
          <w:tcPr>
            <w:tcW w:w="19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Supervisor</w:t>
            </w:r>
          </w:p>
        </w:tc>
        <w:tc>
          <w:tcPr>
            <w:tcW w:w="1950"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Admin</w:t>
            </w:r>
          </w:p>
        </w:tc>
      </w:tr>
      <w:tr>
        <w:trPr/>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Upload Agent BB</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50"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r>
      <w:tr>
        <w:trPr/>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Review Extraction</w:t>
            </w:r>
          </w:p>
        </w:tc>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View</w:t>
            </w:r>
          </w:p>
        </w:tc>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c>
          <w:tcPr>
            <w:tcW w:w="1950"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r>
      <w:tr>
        <w:trPr/>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Resolve LP Match Queue</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View</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50"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r>
      <w:tr>
        <w:trPr/>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Run Shadow BB</w:t>
            </w:r>
          </w:p>
        </w:tc>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View</w:t>
            </w:r>
          </w:p>
        </w:tc>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c>
          <w:tcPr>
            <w:tcW w:w="1950"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r>
      <w:tr>
        <w:trPr/>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View Shadow BB / Reports</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50"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r>
      <w:tr>
        <w:trPr/>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Export BB Certificate</w:t>
            </w:r>
          </w:p>
        </w:tc>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c>
          <w:tcPr>
            <w:tcW w:w="1950"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r>
      <w:tr>
        <w:trPr/>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Reclassify LP</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50"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r>
      <w:tr>
        <w:trPr/>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Toggle UBS Included flag</w:t>
            </w:r>
          </w:p>
        </w:tc>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c>
          <w:tcPr>
            <w:tcW w:w="1950"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r>
      <w:tr>
        <w:trPr/>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Certify Shadow BB</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50"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r>
      <w:tr>
        <w:trPr/>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Reassign workflow ownership</w:t>
            </w:r>
          </w:p>
        </w:tc>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c>
          <w:tcPr>
            <w:tcW w:w="1950"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r>
      <w:tr>
        <w:trPr/>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Configuration Studio (edit)</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50"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r>
      <w:tr>
        <w:trPr/>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Configuration Studio (view)</w:t>
            </w:r>
          </w:p>
        </w:tc>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c>
          <w:tcPr>
            <w:tcW w:w="1950"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r>
      <w:tr>
        <w:trPr/>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LP Master (edit)</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50"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View</w:t>
            </w:r>
          </w:p>
        </w:tc>
      </w:tr>
      <w:tr>
        <w:trPr/>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Match Thresholds (edit)</w:t>
            </w:r>
          </w:p>
        </w:tc>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c>
          <w:tcPr>
            <w:tcW w:w="1950"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r>
      <w:tr>
        <w:trPr/>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Field Mapping (edit)</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50"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r>
      <w:tr>
        <w:trPr/>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Audit Trail</w:t>
            </w:r>
          </w:p>
        </w:tc>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Own submissions</w:t>
            </w:r>
          </w:p>
        </w:tc>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c>
          <w:tcPr>
            <w:tcW w:w="1950"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w:t>
            </w:r>
          </w:p>
        </w:tc>
      </w:tr>
      <w:tr>
        <w:trPr/>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User management</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c>
          <w:tcPr>
            <w:tcW w:w="1950"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w:t>
            </w:r>
          </w:p>
        </w:tc>
      </w:tr>
    </w:tbl>
    <w:p>
      <w:pPr>
        <w:pStyle w:val="Heading2"/>
        <w:spacing w:before="280" w:after="80"/>
        <w:rPr/>
      </w:pPr>
      <w:r>
        <w:rPr/>
        <w:t>8.3 API-Level Enforcement</w:t>
      </w:r>
    </w:p>
    <w:p>
      <w:pPr>
        <w:pStyle w:val="Normal"/>
        <w:spacing w:before="0" w:after="100"/>
        <w:rPr>
          <w:sz w:val="22"/>
          <w:szCs w:val="22"/>
        </w:rPr>
      </w:pPr>
      <w:r>
        <w:rPr>
          <w:sz w:val="22"/>
          <w:szCs w:val="22"/>
        </w:rPr>
        <w:t>UI permission gates are a UX aid only. Every API endpoint enforces role and ownership checks server-side via Spring Security:</w:t>
      </w:r>
    </w:p>
    <w:p>
      <w:pPr>
        <w:pStyle w:val="ListParagraph"/>
        <w:numPr>
          <w:ilvl w:val="0"/>
          <w:numId w:val="1"/>
        </w:numPr>
        <w:spacing w:before="0" w:after="60"/>
        <w:rPr>
          <w:sz w:val="22"/>
          <w:szCs w:val="22"/>
        </w:rPr>
      </w:pPr>
      <w:r>
        <w:rPr>
          <w:sz w:val="22"/>
          <w:szCs w:val="22"/>
        </w:rPr>
        <w:t>JWT claims include sub (user ID), roles (list), and facilities (list of accessible facility IDs)</w:t>
      </w:r>
    </w:p>
    <w:p>
      <w:pPr>
        <w:pStyle w:val="ListParagraph"/>
        <w:numPr>
          <w:ilvl w:val="0"/>
          <w:numId w:val="1"/>
        </w:numPr>
        <w:spacing w:before="0" w:after="60"/>
        <w:rPr>
          <w:sz w:val="22"/>
          <w:szCs w:val="22"/>
        </w:rPr>
      </w:pPr>
      <w:r>
        <w:rPr>
          <w:sz w:val="22"/>
          <w:szCs w:val="22"/>
        </w:rPr>
        <w:t>Ownership check: submission.submitted_by must equal JWT sub, or role must be Supervisor or Admin</w:t>
      </w:r>
    </w:p>
    <w:p>
      <w:pPr>
        <w:pStyle w:val="ListParagraph"/>
        <w:numPr>
          <w:ilvl w:val="0"/>
          <w:numId w:val="1"/>
        </w:numPr>
        <w:spacing w:before="0" w:after="60"/>
        <w:rPr>
          <w:sz w:val="22"/>
          <w:szCs w:val="22"/>
        </w:rPr>
      </w:pPr>
      <w:r>
        <w:rPr>
          <w:sz w:val="22"/>
          <w:szCs w:val="22"/>
        </w:rPr>
        <w:t>Facility scoping: endpoints scoped to a facility_id validate that facility_id appears in JWT facilities claim</w:t>
      </w:r>
    </w:p>
    <w:p>
      <w:pPr>
        <w:pStyle w:val="ListParagraph"/>
        <w:numPr>
          <w:ilvl w:val="0"/>
          <w:numId w:val="1"/>
        </w:numPr>
        <w:spacing w:before="0" w:after="60"/>
        <w:rPr>
          <w:sz w:val="22"/>
          <w:szCs w:val="22"/>
        </w:rPr>
      </w:pPr>
      <w:r>
        <w:rPr>
          <w:sz w:val="22"/>
          <w:szCs w:val="22"/>
        </w:rPr>
        <w:t>Write endpoints (POST, PUT, PATCH, DELETE) additionally validate that the role permits the operation</w:t>
      </w:r>
    </w:p>
    <w:p>
      <w:pPr>
        <w:pStyle w:val="Normal"/>
        <w:rPr/>
      </w:pPr>
      <w:r>
        <w:rPr/>
        <w:br/>
      </w:r>
    </w:p>
    <w:p>
      <w:pPr>
        <w:pStyle w:val="Heading1"/>
        <w:spacing w:before="400" w:after="120"/>
        <w:rPr/>
      </w:pPr>
      <w:r>
        <w:rPr/>
        <w:t>9. UBS Security Integration</w:t>
      </w:r>
    </w:p>
    <w:p>
      <w:pPr>
        <w:pStyle w:val="Heading2"/>
        <w:spacing w:before="280" w:after="80"/>
        <w:rPr/>
      </w:pPr>
      <w:r>
        <w:rPr/>
        <w:t>9.1 Single Sign-On (Azure Active Directory)</w:t>
      </w:r>
    </w:p>
    <w:p>
      <w:pPr>
        <w:pStyle w:val="Normal"/>
        <w:spacing w:before="0" w:after="100"/>
        <w:rPr>
          <w:sz w:val="22"/>
          <w:szCs w:val="22"/>
        </w:rPr>
      </w:pPr>
      <w:r>
        <w:rPr>
          <w:sz w:val="22"/>
          <w:szCs w:val="22"/>
        </w:rPr>
        <w:t>The platform integrates with UBS Azure Active Directory (Entra ID) for authentication. The standard OAuth 2.0 Authorization Code flow with PKCE is used for the SPA; Spring Boot services validate JWTs using the JWKS endpoint.</w:t>
      </w:r>
    </w:p>
    <w:tbl>
      <w:tblPr>
        <w:tblW w:w="5000" w:type="pct"/>
        <w:jc w:val="left"/>
        <w:tblInd w:w="0" w:type="dxa"/>
        <w:tblLayout w:type="fixed"/>
        <w:tblCellMar>
          <w:top w:w="0" w:type="dxa"/>
          <w:left w:w="108" w:type="dxa"/>
          <w:bottom w:w="0" w:type="dxa"/>
          <w:right w:w="108" w:type="dxa"/>
        </w:tblCellMar>
      </w:tblPr>
      <w:tblGrid>
        <w:gridCol w:w="4872"/>
        <w:gridCol w:w="4873"/>
      </w:tblGrid>
      <w:tr>
        <w:trPr>
          <w:tblHeader w:val="true"/>
        </w:trPr>
        <w:tc>
          <w:tcPr>
            <w:tcW w:w="4872"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Parameter</w:t>
            </w:r>
          </w:p>
        </w:tc>
        <w:tc>
          <w:tcPr>
            <w:tcW w:w="4873"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Value</w:t>
            </w:r>
          </w:p>
        </w:tc>
      </w:tr>
      <w:tr>
        <w:trPr/>
        <w:tc>
          <w:tcPr>
            <w:tcW w:w="4872"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Identity provider</w:t>
            </w:r>
          </w:p>
        </w:tc>
        <w:tc>
          <w:tcPr>
            <w:tcW w:w="4873"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Azure Active Directory (Entra ID) — UBS corporate tenant</w:t>
            </w:r>
          </w:p>
        </w:tc>
      </w:tr>
      <w:tr>
        <w:trPr/>
        <w:tc>
          <w:tcPr>
            <w:tcW w:w="4872"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Protocol</w:t>
            </w:r>
          </w:p>
        </w:tc>
        <w:tc>
          <w:tcPr>
            <w:tcW w:w="4873"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OAuth 2.0 + OpenID Connect</w:t>
            </w:r>
          </w:p>
        </w:tc>
      </w:tr>
      <w:tr>
        <w:trPr/>
        <w:tc>
          <w:tcPr>
            <w:tcW w:w="4872"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SPA flow</w:t>
            </w:r>
          </w:p>
        </w:tc>
        <w:tc>
          <w:tcPr>
            <w:tcW w:w="4873"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Authorization Code with PKCE (no client secret in browser)</w:t>
            </w:r>
          </w:p>
        </w:tc>
      </w:tr>
      <w:tr>
        <w:trPr/>
        <w:tc>
          <w:tcPr>
            <w:tcW w:w="4872"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Token validation</w:t>
            </w:r>
          </w:p>
        </w:tc>
        <w:tc>
          <w:tcPr>
            <w:tcW w:w="4873"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Spring Boot Resource Server; JWKS endpoint auto-configured via spring.security.oauth2.resourceserver.jwt.jwk-set-uri</w:t>
            </w:r>
          </w:p>
        </w:tc>
      </w:tr>
      <w:tr>
        <w:trPr/>
        <w:tc>
          <w:tcPr>
            <w:tcW w:w="4872"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Token lifetime</w:t>
            </w:r>
          </w:p>
        </w:tc>
        <w:tc>
          <w:tcPr>
            <w:tcW w:w="4873"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1 hour access token; 8-hour refresh token (UBS AD policy)</w:t>
            </w:r>
          </w:p>
        </w:tc>
      </w:tr>
      <w:tr>
        <w:trPr/>
        <w:tc>
          <w:tcPr>
            <w:tcW w:w="4872"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MFA</w:t>
            </w:r>
          </w:p>
        </w:tc>
        <w:tc>
          <w:tcPr>
            <w:tcW w:w="4873"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Enforced by UBS AD Conditional Access policy; transparent to the application</w:t>
            </w:r>
          </w:p>
        </w:tc>
      </w:tr>
    </w:tbl>
    <w:p>
      <w:pPr>
        <w:pStyle w:val="Heading2"/>
        <w:spacing w:before="280" w:after="80"/>
        <w:rPr/>
      </w:pPr>
      <w:r>
        <w:rPr/>
        <w:t>9.2 Master Access Control (MAC) Entitlements</w:t>
      </w:r>
    </w:p>
    <w:p>
      <w:pPr>
        <w:pStyle w:val="Normal"/>
        <w:spacing w:before="0" w:after="100"/>
        <w:rPr>
          <w:sz w:val="22"/>
          <w:szCs w:val="22"/>
        </w:rPr>
      </w:pPr>
      <w:r>
        <w:rPr>
          <w:sz w:val="22"/>
          <w:szCs w:val="22"/>
        </w:rPr>
        <w:t>UBS's Master Access Control (MAC) system is the authoritative source of user entitlements. Platform roles are derived from MAC entitlement groups rather than being managed in the platform database directly.</w:t>
      </w:r>
    </w:p>
    <w:tbl>
      <w:tblPr>
        <w:tblW w:w="5000" w:type="pct"/>
        <w:jc w:val="left"/>
        <w:tblInd w:w="0" w:type="dxa"/>
        <w:tblLayout w:type="fixed"/>
        <w:tblCellMar>
          <w:top w:w="0" w:type="dxa"/>
          <w:left w:w="108" w:type="dxa"/>
          <w:bottom w:w="0" w:type="dxa"/>
          <w:right w:w="108" w:type="dxa"/>
        </w:tblCellMar>
      </w:tblPr>
      <w:tblGrid>
        <w:gridCol w:w="3248"/>
        <w:gridCol w:w="3249"/>
        <w:gridCol w:w="3249"/>
      </w:tblGrid>
      <w:tr>
        <w:trPr>
          <w:tblHeader w:val="true"/>
        </w:trPr>
        <w:tc>
          <w:tcPr>
            <w:tcW w:w="3248"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MAC Entitlement Group</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Platform Role</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Notes</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PE_SUB_CREDIT_OFFICER</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Credit Officer</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Standard access; assigned to PE Sub Finance team members</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PE_SUB_SUPERVISOR</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Supervisor</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Elevated access; assigned to team leads</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PE_SUB_ADMIN</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Admin</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Configuration access; restricted to platform administrators</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PE_SUB_ANALYST</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Read-Only Analyst</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View-only; Phase 2</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PE_SUB_AUDITOR</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Auditor</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Audit Trail access; Phase 2</w:t>
            </w:r>
          </w:p>
        </w:tc>
      </w:tr>
    </w:tbl>
    <w:p>
      <w:pPr>
        <w:pStyle w:val="Normal"/>
        <w:spacing w:before="0" w:after="100"/>
        <w:rPr>
          <w:sz w:val="22"/>
          <w:szCs w:val="22"/>
        </w:rPr>
      </w:pPr>
      <w:r>
        <w:rPr>
          <w:sz w:val="22"/>
          <w:szCs w:val="22"/>
        </w:rPr>
        <w:t>At login, Azure AD embeds the user's MAC group memberships in the ID token as custom claims (configured via Entra ID app manifest claim mappings). The Spring Boot API Gateway reads these claims and maps them to platform roles for authorization decisions.</w:t>
      </w:r>
    </w:p>
    <w:p>
      <w:pPr>
        <w:pStyle w:val="Normal"/>
        <w:pBdr>
          <w:left w:val="single" w:sz="24" w:space="0" w:color="2E75B6"/>
        </w:pBdr>
        <w:shd w:val="clear" w:fill="F2F4F8"/>
        <w:spacing w:before="60" w:after="100"/>
        <w:rPr>
          <w:i/>
          <w:i/>
          <w:iCs/>
          <w:color w:val="444444"/>
          <w:sz w:val="20"/>
          <w:szCs w:val="20"/>
        </w:rPr>
      </w:pPr>
      <w:r>
        <w:rPr>
          <w:i/>
          <w:iCs/>
          <w:color w:val="444444"/>
          <w:sz w:val="20"/>
          <w:szCs w:val="20"/>
        </w:rPr>
        <w:t xml:space="preserve">📌  </w:t>
      </w:r>
      <w:r>
        <w:rPr>
          <w:i/>
          <w:iCs/>
          <w:color w:val="444444"/>
          <w:sz w:val="20"/>
          <w:szCs w:val="20"/>
        </w:rPr>
        <w:t>Facility-level scoping (which facilities a Credit Officer can access) is a Phase 2 enhancement. In Phase 1, all Credit Officers have access to all facilities, consistent with the current team structure.</w:t>
      </w:r>
    </w:p>
    <w:p>
      <w:pPr>
        <w:pStyle w:val="Heading2"/>
        <w:spacing w:before="280" w:after="80"/>
        <w:rPr/>
      </w:pPr>
      <w:r>
        <w:rPr/>
        <w:t>9.3 Data Security</w:t>
      </w:r>
    </w:p>
    <w:tbl>
      <w:tblPr>
        <w:tblW w:w="5000" w:type="pct"/>
        <w:jc w:val="left"/>
        <w:tblInd w:w="0" w:type="dxa"/>
        <w:tblLayout w:type="fixed"/>
        <w:tblCellMar>
          <w:top w:w="0" w:type="dxa"/>
          <w:left w:w="108" w:type="dxa"/>
          <w:bottom w:w="0" w:type="dxa"/>
          <w:right w:w="108" w:type="dxa"/>
        </w:tblCellMar>
      </w:tblPr>
      <w:tblGrid>
        <w:gridCol w:w="4872"/>
        <w:gridCol w:w="4873"/>
      </w:tblGrid>
      <w:tr>
        <w:trPr>
          <w:tblHeader w:val="true"/>
        </w:trPr>
        <w:tc>
          <w:tcPr>
            <w:tcW w:w="4872"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Control</w:t>
            </w:r>
          </w:p>
        </w:tc>
        <w:tc>
          <w:tcPr>
            <w:tcW w:w="4873"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Implementation</w:t>
            </w:r>
          </w:p>
        </w:tc>
      </w:tr>
      <w:tr>
        <w:trPr/>
        <w:tc>
          <w:tcPr>
            <w:tcW w:w="4872"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Encryption in transit</w:t>
            </w:r>
          </w:p>
        </w:tc>
        <w:tc>
          <w:tcPr>
            <w:tcW w:w="4873"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TLS 1.3 enforced; HSTS headers; certificate managed by Azure API Management</w:t>
            </w:r>
          </w:p>
        </w:tc>
      </w:tr>
      <w:tr>
        <w:trPr/>
        <w:tc>
          <w:tcPr>
            <w:tcW w:w="4872"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Encryption at rest</w:t>
            </w:r>
          </w:p>
        </w:tc>
        <w:tc>
          <w:tcPr>
            <w:tcW w:w="4873"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PostgreSQL: pgcrypto for PII fields (LP names, ratings data); Azure Blob Storage with Microsoft-managed keys</w:t>
            </w:r>
          </w:p>
        </w:tc>
      </w:tr>
      <w:tr>
        <w:trPr/>
        <w:tc>
          <w:tcPr>
            <w:tcW w:w="4872"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Secrets management</w:t>
            </w:r>
          </w:p>
        </w:tc>
        <w:tc>
          <w:tcPr>
            <w:tcW w:w="4873"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Azure Key Vault; connection strings, API keys, encryption keys stored in Vault; no secrets in source code or environment variables</w:t>
            </w:r>
          </w:p>
        </w:tc>
      </w:tr>
      <w:tr>
        <w:trPr/>
        <w:tc>
          <w:tcPr>
            <w:tcW w:w="4872"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Key rotation</w:t>
            </w:r>
          </w:p>
        </w:tc>
        <w:tc>
          <w:tcPr>
            <w:tcW w:w="4873"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Automated; 90-day rotation for database credentials; 1-year for encryption keys</w:t>
            </w:r>
          </w:p>
        </w:tc>
      </w:tr>
      <w:tr>
        <w:trPr/>
        <w:tc>
          <w:tcPr>
            <w:tcW w:w="4872"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Network isolation</w:t>
            </w:r>
          </w:p>
        </w:tc>
        <w:tc>
          <w:tcPr>
            <w:tcW w:w="4873"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All services on Azure private VNet; PostgreSQL accessible only from AKS pods via private endpoint; no public database endpoint</w:t>
            </w:r>
          </w:p>
        </w:tc>
      </w:tr>
      <w:tr>
        <w:trPr/>
        <w:tc>
          <w:tcPr>
            <w:tcW w:w="4872"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Audit retention</w:t>
            </w:r>
          </w:p>
        </w:tc>
        <w:tc>
          <w:tcPr>
            <w:tcW w:w="4873"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7-year immutable audit log; write-once Azure Blob Storage container for audit exports</w:t>
            </w:r>
          </w:p>
        </w:tc>
      </w:tr>
    </w:tbl>
    <w:p>
      <w:pPr>
        <w:pStyle w:val="Normal"/>
        <w:rPr/>
      </w:pPr>
      <w:r>
        <w:rPr/>
        <w:br/>
      </w:r>
    </w:p>
    <w:p>
      <w:pPr>
        <w:pStyle w:val="Heading1"/>
        <w:spacing w:before="400" w:after="120"/>
        <w:rPr/>
      </w:pPr>
      <w:r>
        <w:rPr/>
        <w:t>10. Module Breakdown and Delivery Timeline</w:t>
      </w:r>
    </w:p>
    <w:p>
      <w:pPr>
        <w:pStyle w:val="Heading2"/>
        <w:spacing w:before="280" w:after="80"/>
        <w:rPr/>
      </w:pPr>
      <w:r>
        <w:rPr/>
        <w:t>10.1 Modules</w:t>
      </w:r>
    </w:p>
    <w:p>
      <w:pPr>
        <w:pStyle w:val="Normal"/>
        <w:spacing w:before="0" w:after="100"/>
        <w:rPr>
          <w:sz w:val="22"/>
          <w:szCs w:val="22"/>
        </w:rPr>
      </w:pPr>
      <w:r>
        <w:rPr>
          <w:sz w:val="22"/>
          <w:szCs w:val="22"/>
        </w:rPr>
        <w:t>Each module maps directly to a functional area prototyped in the React SPA. Phase 1 delivers the full credit officer workflow end-to-end for the pilot facility. Phase 2 scales to all facilities and automates data migration. Phase 3 adds analytics, integrations, and production hardening.</w:t>
      </w:r>
    </w:p>
    <w:tbl>
      <w:tblPr>
        <w:tblW w:w="5000" w:type="pct"/>
        <w:jc w:val="left"/>
        <w:tblInd w:w="0" w:type="dxa"/>
        <w:tblLayout w:type="fixed"/>
        <w:tblCellMar>
          <w:top w:w="0" w:type="dxa"/>
          <w:left w:w="108" w:type="dxa"/>
          <w:bottom w:w="0" w:type="dxa"/>
          <w:right w:w="108" w:type="dxa"/>
        </w:tblCellMar>
      </w:tblPr>
      <w:tblGrid>
        <w:gridCol w:w="3248"/>
        <w:gridCol w:w="3249"/>
        <w:gridCol w:w="3249"/>
      </w:tblGrid>
      <w:tr>
        <w:trPr>
          <w:tblHeader w:val="true"/>
        </w:trPr>
        <w:tc>
          <w:tcPr>
            <w:tcW w:w="3248"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Module</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Prototype screen(s)</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Phase</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Infrastructure and database</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None (foundation layer)</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1</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LP Master</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LP Master — search, filter, detail overlay, reclassify, version history, export</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1</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Agent BB upload and extraction</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Upload wizard: Select Facility, Upload, Review Extraction</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1</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LP name matching</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Upload wizard: Review Matches; Match Analysis panel</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1</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Shadow BB calculation</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Upload wizard: Run Shadow BB; Shadow BB screen</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1</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Configuration</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Configuration screen: advance rates, eligibility rules, concentration limits, field mapping, match thresholds</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1</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Reports and certificates</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Reports screen: BB certificate, compliance tests, export, report history</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1</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Audit Trail</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Audit Trail screen</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1</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React SPA — production API wiring</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All screens (replace simulated data layer with live API calls via RTK Query)</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1</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Data migration</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None (back-office tooling)</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2</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Portfolio dashboard</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Dashboard — cross-facility KPIs, facility list, activity feed</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2</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Rules builder</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Configuration screen enhancements</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2</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Analytics and what-if</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Shadow BB screen enhancements</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3</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CMS integration</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None (server-side only)</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3</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Performance and security hardening</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None (infrastructure)</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3</w:t>
            </w:r>
          </w:p>
        </w:tc>
      </w:tr>
    </w:tbl>
    <w:p>
      <w:pPr>
        <w:pStyle w:val="Heading2"/>
        <w:spacing w:before="280" w:after="80"/>
        <w:rPr/>
      </w:pPr>
      <w:r>
        <w:rPr/>
        <w:t>10.2 Data Migration</w:t>
      </w:r>
    </w:p>
    <w:p>
      <w:pPr>
        <w:pStyle w:val="Heading3"/>
        <w:spacing w:before="200" w:after="60"/>
        <w:rPr/>
      </w:pPr>
      <w:r>
        <w:rPr/>
        <w:t>Source systems</w:t>
      </w:r>
    </w:p>
    <w:p>
      <w:pPr>
        <w:pStyle w:val="Normal"/>
        <w:spacing w:before="0" w:after="100"/>
        <w:rPr>
          <w:sz w:val="22"/>
          <w:szCs w:val="22"/>
        </w:rPr>
      </w:pPr>
      <w:r>
        <w:rPr>
          <w:sz w:val="22"/>
          <w:szCs w:val="22"/>
        </w:rPr>
        <w:t>Two sources exist: a Microsoft Access database used by the PE Sub team as an LP master, and the library of Excel Shadow BB files produced for each facility each month. Both need to be assessed before committing to a migration strategy.</w:t>
      </w:r>
    </w:p>
    <w:p>
      <w:pPr>
        <w:pStyle w:val="Heading3"/>
        <w:spacing w:before="200" w:after="60"/>
        <w:rPr/>
      </w:pPr>
      <w:r>
        <w:rPr/>
        <w:t>Option A — Access DB ETL</w:t>
      </w:r>
    </w:p>
    <w:p>
      <w:pPr>
        <w:pStyle w:val="Normal"/>
        <w:spacing w:before="0" w:after="100"/>
        <w:rPr>
          <w:sz w:val="22"/>
          <w:szCs w:val="22"/>
        </w:rPr>
      </w:pPr>
      <w:r>
        <w:rPr>
          <w:sz w:val="22"/>
          <w:szCs w:val="22"/>
        </w:rPr>
        <w:t>The Access database is mapped to the PostgreSQL lp_master schema: tables are inspected, columns matched to canonical fields, and records loaded via a one-time ETL script. This approach is straightforward if the Access schema is clean and well-maintained, but Access databases often accumulate inconsistencies — duplicate records, freeform text in typed fields, stale data not purged after LP exits. A schema audit is required before committing to this path.</w:t>
      </w:r>
    </w:p>
    <w:tbl>
      <w:tblPr>
        <w:tblW w:w="5000" w:type="pct"/>
        <w:jc w:val="left"/>
        <w:tblInd w:w="0" w:type="dxa"/>
        <w:tblLayout w:type="fixed"/>
        <w:tblCellMar>
          <w:top w:w="0" w:type="dxa"/>
          <w:left w:w="108" w:type="dxa"/>
          <w:bottom w:w="0" w:type="dxa"/>
          <w:right w:w="108" w:type="dxa"/>
        </w:tblCellMar>
      </w:tblPr>
      <w:tblGrid>
        <w:gridCol w:w="3248"/>
        <w:gridCol w:w="3249"/>
        <w:gridCol w:w="3249"/>
      </w:tblGrid>
      <w:tr>
        <w:trPr>
          <w:tblHeader w:val="true"/>
        </w:trPr>
        <w:tc>
          <w:tcPr>
            <w:tcW w:w="3248"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Access table / field</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Maps to PostgreSQL</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Migration note</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LP name</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lp_master.canonical_name</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Normalise and deduplicate across facilities before load</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Investor type</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lp_master.investor_type</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Map to canonical type list; flag unmapped values for review</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AUM</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lp_master.aum_usd</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Convert text ranges to numeric; manual review queue for ambiguous values</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Ratings (S&amp;P, Moody's, Fitch)</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lp_master.sp_rating / moodys_rating / fitch_rating</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Validate against recognised rating scale; flag stale or withdrawn ratings</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Classification</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lp_master.classification</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Carry forward as-is; set reclassified = false; algorithm re-derives on next submission</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Region / HQ</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lp_master.region / hq_us</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Map to canonical region list</w:t>
            </w:r>
          </w:p>
        </w:tc>
      </w:tr>
    </w:tbl>
    <w:p>
      <w:pPr>
        <w:pStyle w:val="Heading3"/>
        <w:spacing w:before="200" w:after="60"/>
        <w:rPr/>
      </w:pPr>
      <w:r>
        <w:rPr/>
        <w:t>Option B — Shadow BB backfill (recommended)</w:t>
      </w:r>
    </w:p>
    <w:p>
      <w:pPr>
        <w:pStyle w:val="Normal"/>
        <w:spacing w:before="0" w:after="100"/>
        <w:rPr>
          <w:sz w:val="22"/>
          <w:szCs w:val="22"/>
        </w:rPr>
      </w:pPr>
      <w:r>
        <w:rPr>
          <w:sz w:val="22"/>
          <w:szCs w:val="22"/>
        </w:rPr>
        <w:t>Rather than migrating the Access database directly, the platform's own ingestion pipeline is used to process 12–24 months of historical Shadow BB Excel files — one per facility per month. This is the preferred approach for three reasons:</w:t>
      </w:r>
    </w:p>
    <w:p>
      <w:pPr>
        <w:pStyle w:val="ListParagraph"/>
        <w:numPr>
          <w:ilvl w:val="0"/>
          <w:numId w:val="1"/>
        </w:numPr>
        <w:spacing w:before="0" w:after="60"/>
        <w:rPr>
          <w:sz w:val="22"/>
          <w:szCs w:val="22"/>
        </w:rPr>
      </w:pPr>
      <w:r>
        <w:rPr>
          <w:sz w:val="22"/>
          <w:szCs w:val="22"/>
        </w:rPr>
        <w:t>The Shadow BB files are the actual system of record. They were reviewed and certified by credit officers. The data quality is production-grade.</w:t>
      </w:r>
    </w:p>
    <w:p>
      <w:pPr>
        <w:pStyle w:val="ListParagraph"/>
        <w:numPr>
          <w:ilvl w:val="0"/>
          <w:numId w:val="1"/>
        </w:numPr>
        <w:spacing w:before="0" w:after="60"/>
        <w:rPr>
          <w:sz w:val="22"/>
          <w:szCs w:val="22"/>
        </w:rPr>
      </w:pPr>
      <w:r>
        <w:rPr>
          <w:sz w:val="22"/>
          <w:szCs w:val="22"/>
        </w:rPr>
        <w:t>Each file contains LP names in both agent format and UBS master format, commitment and uncalled balances, UBS classifications, advance rates, and any manual overrides — everything needed to seed lp_master and lp_submission_record in one pass.</w:t>
      </w:r>
    </w:p>
    <w:p>
      <w:pPr>
        <w:pStyle w:val="ListParagraph"/>
        <w:numPr>
          <w:ilvl w:val="0"/>
          <w:numId w:val="1"/>
        </w:numPr>
        <w:spacing w:before="0" w:after="60"/>
        <w:rPr>
          <w:sz w:val="22"/>
          <w:szCs w:val="22"/>
        </w:rPr>
      </w:pPr>
      <w:r>
        <w:rPr>
          <w:sz w:val="22"/>
          <w:szCs w:val="22"/>
        </w:rPr>
        <w:t>Month-over-month classification changes across the file history provide a ready-made version history for each LP, including the rationale where it was recorded in notes columns.</w:t>
      </w:r>
    </w:p>
    <w:p>
      <w:pPr>
        <w:pStyle w:val="Normal"/>
        <w:spacing w:before="0" w:after="100"/>
        <w:rPr>
          <w:sz w:val="22"/>
          <w:szCs w:val="22"/>
        </w:rPr>
      </w:pPr>
      <w:r>
        <w:rPr>
          <w:sz w:val="22"/>
          <w:szCs w:val="22"/>
        </w:rPr>
        <w:t>The ingestion pipeline already knows how to parse these files (it uses the same Apache POI column recognition and alias mapping). Backfill simply runs the pipeline in historical mode: for each facility, process files oldest-first, upsert LP Master records on each pass, and store each month's output as a historical bb_snapshot. After backfill, the LP Master reflects the most recently certified classification for every LP across all facilities.</w:t>
      </w:r>
    </w:p>
    <w:p>
      <w:pPr>
        <w:pStyle w:val="Heading3"/>
        <w:spacing w:before="200" w:after="60"/>
        <w:rPr/>
      </w:pPr>
      <w:r>
        <w:rPr/>
        <w:t>Option C — Hybrid</w:t>
      </w:r>
    </w:p>
    <w:p>
      <w:pPr>
        <w:pStyle w:val="Normal"/>
        <w:spacing w:before="0" w:after="100"/>
        <w:rPr>
          <w:sz w:val="22"/>
          <w:szCs w:val="22"/>
        </w:rPr>
      </w:pPr>
      <w:r>
        <w:rPr>
          <w:sz w:val="22"/>
          <w:szCs w:val="22"/>
        </w:rPr>
        <w:t>Use the Shadow BB backfill as the primary LP Master seed (Option B), then supplement with the Access database for fields that do not appear in the BB files: parent/subsidiary relationships, legal entity identifiers, contact information, ERISA subject flag, and any custom annotations. This avoids the Access schema audit risk while still capturing metadata that the Excel files do not carry.</w:t>
      </w:r>
    </w:p>
    <w:p>
      <w:pPr>
        <w:pStyle w:val="Normal"/>
        <w:pBdr>
          <w:left w:val="single" w:sz="24" w:space="0" w:color="2E75B6"/>
        </w:pBdr>
        <w:shd w:val="clear" w:fill="F2F4F8"/>
        <w:spacing w:before="60" w:after="100"/>
        <w:rPr>
          <w:i/>
          <w:i/>
          <w:iCs/>
          <w:color w:val="444444"/>
          <w:sz w:val="20"/>
          <w:szCs w:val="20"/>
        </w:rPr>
      </w:pPr>
      <w:r>
        <w:rPr>
          <w:i/>
          <w:iCs/>
          <w:color w:val="444444"/>
          <w:sz w:val="20"/>
          <w:szCs w:val="20"/>
        </w:rPr>
        <w:t xml:space="preserve">📌  </w:t>
      </w:r>
      <w:r>
        <w:rPr>
          <w:i/>
          <w:iCs/>
          <w:color w:val="444444"/>
          <w:sz w:val="20"/>
          <w:szCs w:val="20"/>
        </w:rPr>
        <w:t>Recommendation: begin with a Shadow BB backfill for one facility as a proof of concept. Run the ingestion pipeline against 12 months of historical files and compare the resulting LP Master to the current Access records. The gap — records in Access that did not appear in the Shadow BBs, or fields that did not map cleanly — defines the scope of any supplemental Access ETL required.</w:t>
      </w:r>
    </w:p>
    <w:p>
      <w:pPr>
        <w:pStyle w:val="Heading2"/>
        <w:spacing w:before="280" w:after="80"/>
        <w:rPr/>
      </w:pPr>
      <w:r>
        <w:rPr/>
        <w:t>10.3 Phased Delivery Schedule</w:t>
      </w:r>
    </w:p>
    <w:tbl>
      <w:tblPr>
        <w:tblW w:w="5000" w:type="pct"/>
        <w:jc w:val="left"/>
        <w:tblInd w:w="0" w:type="dxa"/>
        <w:tblLayout w:type="fixed"/>
        <w:tblCellMar>
          <w:top w:w="0" w:type="dxa"/>
          <w:left w:w="108" w:type="dxa"/>
          <w:bottom w:w="0" w:type="dxa"/>
          <w:right w:w="108" w:type="dxa"/>
        </w:tblCellMar>
      </w:tblPr>
      <w:tblGrid>
        <w:gridCol w:w="3248"/>
        <w:gridCol w:w="3249"/>
        <w:gridCol w:w="3249"/>
      </w:tblGrid>
      <w:tr>
        <w:trPr>
          <w:tblHeader w:val="true"/>
        </w:trPr>
        <w:tc>
          <w:tcPr>
            <w:tcW w:w="3248"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Phase</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Months</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Success Criterion</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Phase 1 — Foundation and Pilot</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1–6</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Shadow BB calculated from a live uploaded Agent BB for Blue Owl GP Stakes V. Output matches current Excel Shadow BB. Credit officer signs off on parallel run.</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Phase 2 — Scale and Migration</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7–10</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All facilities migrated via Shadow BB backfill. Portfolio-level Shadow BB available in real time. PE Sub team can update rates and rules without engineering involvement.</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Phase 3 — Hardening and Integration</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11–12</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Platform passes UBS security review and DR test. CMS integration live. Ready for production go-live across all facilities.</w:t>
            </w:r>
          </w:p>
        </w:tc>
      </w:tr>
    </w:tbl>
    <w:p>
      <w:pPr>
        <w:pStyle w:val="Normal"/>
        <w:rPr/>
      </w:pPr>
      <w:r>
        <w:rPr/>
        <w:br/>
      </w:r>
    </w:p>
    <w:p>
      <w:pPr>
        <w:pStyle w:val="Heading1"/>
        <w:spacing w:before="400" w:after="120"/>
        <w:rPr/>
      </w:pPr>
      <w:r>
        <w:rPr/>
        <w:t>11. Performance Considerations</w:t>
      </w:r>
    </w:p>
    <w:p>
      <w:pPr>
        <w:pStyle w:val="Heading2"/>
        <w:spacing w:before="280" w:after="80"/>
        <w:rPr/>
      </w:pPr>
      <w:r>
        <w:rPr/>
        <w:t>11.1 Scale Targets</w:t>
      </w:r>
    </w:p>
    <w:tbl>
      <w:tblPr>
        <w:tblW w:w="5000" w:type="pct"/>
        <w:jc w:val="left"/>
        <w:tblInd w:w="0" w:type="dxa"/>
        <w:tblLayout w:type="fixed"/>
        <w:tblCellMar>
          <w:top w:w="0" w:type="dxa"/>
          <w:left w:w="108" w:type="dxa"/>
          <w:bottom w:w="0" w:type="dxa"/>
          <w:right w:w="108" w:type="dxa"/>
        </w:tblCellMar>
      </w:tblPr>
      <w:tblGrid>
        <w:gridCol w:w="3248"/>
        <w:gridCol w:w="3249"/>
        <w:gridCol w:w="3249"/>
      </w:tblGrid>
      <w:tr>
        <w:trPr>
          <w:tblHeader w:val="true"/>
        </w:trPr>
        <w:tc>
          <w:tcPr>
            <w:tcW w:w="3248"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Metric</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Target</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Notes</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LP Master size</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25,000 LPs</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Current: ~21,847 across 82 facilities; growing ~10% annually</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Facility count</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100 facilities</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Current: 82; headroom for new mandates</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Largest single facility</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2,500 LPs</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Current largest: Blackstone Infrastructure III (2,241 LPs)</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Full batch BB calculation</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&lt; 30 seconds</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For largest facility at 2,500 LPs; target for Phase 1</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Incremental real-time recalculation</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&lt; 500 ms</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Single LP reclassify → portfolio aggregates updated</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LP Master search response</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&lt; 300 ms</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Paginated query with filter; cache hit target &lt; 50 ms</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API Gateway throughput</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200 req/sec</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Concurrent COs across all facilities; peak month-end load</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Certificate PDF generation</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&lt; 10 seconds</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Full LP-level certificate for 2,500 LPs</w:t>
            </w:r>
          </w:p>
        </w:tc>
      </w:tr>
    </w:tbl>
    <w:p>
      <w:pPr>
        <w:pStyle w:val="Heading2"/>
        <w:spacing w:before="280" w:after="80"/>
        <w:rPr/>
      </w:pPr>
      <w:r>
        <w:rPr/>
        <w:t>11.2 Database Indexing</w:t>
      </w:r>
    </w:p>
    <w:tbl>
      <w:tblPr>
        <w:tblW w:w="5000" w:type="pct"/>
        <w:jc w:val="left"/>
        <w:tblInd w:w="0" w:type="dxa"/>
        <w:tblLayout w:type="fixed"/>
        <w:tblCellMar>
          <w:top w:w="0" w:type="dxa"/>
          <w:left w:w="108" w:type="dxa"/>
          <w:bottom w:w="0" w:type="dxa"/>
          <w:right w:w="108" w:type="dxa"/>
        </w:tblCellMar>
      </w:tblPr>
      <w:tblGrid>
        <w:gridCol w:w="3248"/>
        <w:gridCol w:w="3249"/>
        <w:gridCol w:w="3249"/>
      </w:tblGrid>
      <w:tr>
        <w:trPr>
          <w:tblHeader w:val="true"/>
        </w:trPr>
        <w:tc>
          <w:tcPr>
            <w:tcW w:w="3248"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Table</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Index</w:t>
            </w:r>
          </w:p>
        </w:tc>
        <w:tc>
          <w:tcPr>
            <w:tcW w:w="3249"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Purpose</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lp_master</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GIN index on canonical_name using pg_trgm</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Trigram pre-filter for LP name matching scoring</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lp_master</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B-tree on classification, region, hq_us</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LP Master search and filter queries</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lp_submission_record</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Composite on (submission_id, lp_id)</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Per-submission LP record lookups</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lp_submission_record</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B-tree on ubs_included, ubs_classification</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Portfolio aggregate queries</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match_queue_item</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Composite on (submission_id, status)</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Queue filtering by status</w:t>
            </w:r>
          </w:p>
        </w:tc>
      </w:tr>
      <w:tr>
        <w:trPr/>
        <w:tc>
          <w:tcPr>
            <w:tcW w:w="3248"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audit_log</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B-tree on (facility_id, created_at)</w:t>
            </w:r>
          </w:p>
        </w:tc>
        <w:tc>
          <w:tcPr>
            <w:tcW w:w="3249"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Audit Trail date-range queries</w:t>
            </w:r>
          </w:p>
        </w:tc>
      </w:tr>
      <w:tr>
        <w:trPr/>
        <w:tc>
          <w:tcPr>
            <w:tcW w:w="3248"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submission</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B-tree on (facility_id, as_of_date)</w:t>
            </w:r>
          </w:p>
        </w:tc>
        <w:tc>
          <w:tcPr>
            <w:tcW w:w="3249"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Submission history lookups per facility</w:t>
            </w:r>
          </w:p>
        </w:tc>
      </w:tr>
    </w:tbl>
    <w:p>
      <w:pPr>
        <w:pStyle w:val="Heading2"/>
        <w:spacing w:before="280" w:after="80"/>
        <w:rPr/>
      </w:pPr>
      <w:r>
        <w:rPr/>
        <w:t>11.3 AKS Autoscaling</w:t>
      </w:r>
    </w:p>
    <w:p>
      <w:pPr>
        <w:pStyle w:val="Normal"/>
        <w:spacing w:before="0" w:after="100"/>
        <w:rPr>
          <w:sz w:val="22"/>
          <w:szCs w:val="22"/>
        </w:rPr>
      </w:pPr>
      <w:r>
        <w:rPr>
          <w:sz w:val="22"/>
          <w:szCs w:val="22"/>
        </w:rPr>
        <w:t>Each Spring Boot service is deployed as a separate Kubernetes Deployment with Horizontal Pod Autoscaler (HPA):</w:t>
      </w:r>
    </w:p>
    <w:p>
      <w:pPr>
        <w:pStyle w:val="ListParagraph"/>
        <w:numPr>
          <w:ilvl w:val="0"/>
          <w:numId w:val="1"/>
        </w:numPr>
        <w:spacing w:before="0" w:after="60"/>
        <w:rPr>
          <w:sz w:val="22"/>
          <w:szCs w:val="22"/>
        </w:rPr>
      </w:pPr>
      <w:r>
        <w:rPr>
          <w:sz w:val="22"/>
          <w:szCs w:val="22"/>
        </w:rPr>
        <w:t>BB Calculation Service: scales on CPU; min 2 pods, max 8; burst capacity for month-end parallel runs</w:t>
      </w:r>
    </w:p>
    <w:p>
      <w:pPr>
        <w:pStyle w:val="ListParagraph"/>
        <w:numPr>
          <w:ilvl w:val="0"/>
          <w:numId w:val="1"/>
        </w:numPr>
        <w:spacing w:before="0" w:after="60"/>
        <w:rPr>
          <w:sz w:val="22"/>
          <w:szCs w:val="22"/>
        </w:rPr>
      </w:pPr>
      <w:r>
        <w:rPr>
          <w:sz w:val="22"/>
          <w:szCs w:val="22"/>
        </w:rPr>
        <w:t>Ingestion Service: scales on queue depth (Azure Service Bus message count); min 1 pod, max 4</w:t>
      </w:r>
    </w:p>
    <w:p>
      <w:pPr>
        <w:pStyle w:val="ListParagraph"/>
        <w:numPr>
          <w:ilvl w:val="0"/>
          <w:numId w:val="1"/>
        </w:numPr>
        <w:spacing w:before="0" w:after="60"/>
        <w:rPr>
          <w:sz w:val="22"/>
          <w:szCs w:val="22"/>
        </w:rPr>
      </w:pPr>
      <w:r>
        <w:rPr>
          <w:sz w:val="22"/>
          <w:szCs w:val="22"/>
        </w:rPr>
        <w:t>LP Matching Service: scales on CPU; min 2 pods, max 6</w:t>
      </w:r>
    </w:p>
    <w:p>
      <w:pPr>
        <w:pStyle w:val="ListParagraph"/>
        <w:numPr>
          <w:ilvl w:val="0"/>
          <w:numId w:val="1"/>
        </w:numPr>
        <w:spacing w:before="0" w:after="60"/>
        <w:rPr>
          <w:sz w:val="22"/>
          <w:szCs w:val="22"/>
        </w:rPr>
      </w:pPr>
      <w:r>
        <w:rPr>
          <w:sz w:val="22"/>
          <w:szCs w:val="22"/>
        </w:rPr>
        <w:t>All other services: min 1 pod, max 3; baseline traffic only</w:t>
      </w:r>
    </w:p>
    <w:p>
      <w:pPr>
        <w:pStyle w:val="Normal"/>
        <w:rPr/>
      </w:pPr>
      <w:r>
        <w:rPr/>
        <w:br/>
      </w:r>
    </w:p>
    <w:p>
      <w:pPr>
        <w:pStyle w:val="Heading1"/>
        <w:spacing w:before="400" w:after="120"/>
        <w:rPr/>
      </w:pPr>
      <w:r>
        <w:rPr/>
        <w:t>12. Appendix — Key Terms</w:t>
      </w:r>
    </w:p>
    <w:tbl>
      <w:tblPr>
        <w:tblW w:w="5000" w:type="pct"/>
        <w:jc w:val="left"/>
        <w:tblInd w:w="0" w:type="dxa"/>
        <w:tblLayout w:type="fixed"/>
        <w:tblCellMar>
          <w:top w:w="0" w:type="dxa"/>
          <w:left w:w="108" w:type="dxa"/>
          <w:bottom w:w="0" w:type="dxa"/>
          <w:right w:w="108" w:type="dxa"/>
        </w:tblCellMar>
      </w:tblPr>
      <w:tblGrid>
        <w:gridCol w:w="4872"/>
        <w:gridCol w:w="4873"/>
      </w:tblGrid>
      <w:tr>
        <w:trPr>
          <w:tblHeader w:val="true"/>
        </w:trPr>
        <w:tc>
          <w:tcPr>
            <w:tcW w:w="4872"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Term</w:t>
            </w:r>
          </w:p>
        </w:tc>
        <w:tc>
          <w:tcPr>
            <w:tcW w:w="4873" w:type="dxa"/>
            <w:tcBorders>
              <w:top w:val="single" w:sz="4" w:space="0" w:color="000000"/>
              <w:left w:val="single" w:sz="4" w:space="0" w:color="000000"/>
              <w:bottom w:val="single" w:sz="4" w:space="0" w:color="000000"/>
              <w:right w:val="single" w:sz="4" w:space="0" w:color="000000"/>
            </w:tcBorders>
            <w:shd w:fill="1C2D5A" w:val="clear"/>
          </w:tcPr>
          <w:p>
            <w:pPr>
              <w:pStyle w:val="Normal"/>
              <w:widowControl w:val="false"/>
              <w:jc w:val="left"/>
              <w:rPr>
                <w:b/>
                <w:b/>
                <w:bCs/>
                <w:color w:val="FFFFFF"/>
                <w:sz w:val="20"/>
                <w:szCs w:val="20"/>
              </w:rPr>
            </w:pPr>
            <w:r>
              <w:rPr>
                <w:b/>
                <w:bCs/>
                <w:color w:val="FFFFFF"/>
                <w:sz w:val="20"/>
                <w:szCs w:val="20"/>
              </w:rPr>
              <w:t>Definition</w:t>
            </w:r>
          </w:p>
        </w:tc>
      </w:tr>
      <w:tr>
        <w:trPr/>
        <w:tc>
          <w:tcPr>
            <w:tcW w:w="4872"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Agent BB</w:t>
            </w:r>
          </w:p>
        </w:tc>
        <w:tc>
          <w:tcPr>
            <w:tcW w:w="4873"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Borrowing Base Certificate prepared by the agent bank and posted to the deal site each month</w:t>
            </w:r>
          </w:p>
        </w:tc>
      </w:tr>
      <w:tr>
        <w:trPr/>
        <w:tc>
          <w:tcPr>
            <w:tcW w:w="4872"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Borrowing Base (BB)</w:t>
            </w:r>
          </w:p>
        </w:tc>
        <w:tc>
          <w:tcPr>
            <w:tcW w:w="4873"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The calculation determining how much the fund may have outstanding; risk-adjusted, eligibility-filtered sum of LP contributions</w:t>
            </w:r>
          </w:p>
        </w:tc>
      </w:tr>
      <w:tr>
        <w:trPr/>
        <w:tc>
          <w:tcPr>
            <w:tcW w:w="4872"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Shadow BB</w:t>
            </w:r>
          </w:p>
        </w:tc>
        <w:tc>
          <w:tcPr>
            <w:tcW w:w="4873"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UBS's independent recalculation of the BB using UBS's own LP Master, advance rates, concentration limits, and eligibility rules</w:t>
            </w:r>
          </w:p>
        </w:tc>
      </w:tr>
      <w:tr>
        <w:trPr/>
        <w:tc>
          <w:tcPr>
            <w:tcW w:w="4872"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BB Delta</w:t>
            </w:r>
          </w:p>
        </w:tc>
        <w:tc>
          <w:tcPr>
            <w:tcW w:w="4873"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Shadow BB minus Agent BB; negative delta means UBS calculates lower availability than the agent claims</w:t>
            </w:r>
          </w:p>
        </w:tc>
      </w:tr>
      <w:tr>
        <w:trPr/>
        <w:tc>
          <w:tcPr>
            <w:tcW w:w="4872"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EAR</w:t>
            </w:r>
          </w:p>
        </w:tc>
        <w:tc>
          <w:tcPr>
            <w:tcW w:w="4873"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Effective Advance Rate; Total UBS BB divided by Total UBS Eligible Uncalled Capital</w:t>
            </w:r>
          </w:p>
        </w:tc>
      </w:tr>
      <w:tr>
        <w:trPr/>
        <w:tc>
          <w:tcPr>
            <w:tcW w:w="4872"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GP</w:t>
            </w:r>
          </w:p>
        </w:tc>
        <w:tc>
          <w:tcPr>
            <w:tcW w:w="4873"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General Partner; the fund manager; the borrower on the sub line</w:t>
            </w:r>
          </w:p>
        </w:tc>
      </w:tr>
      <w:tr>
        <w:trPr/>
        <w:tc>
          <w:tcPr>
            <w:tcW w:w="4872"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LP</w:t>
            </w:r>
          </w:p>
        </w:tc>
        <w:tc>
          <w:tcPr>
            <w:tcW w:w="4873"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Limited Partner; the fund investor; their unfunded commitment is the collateral</w:t>
            </w:r>
          </w:p>
        </w:tc>
      </w:tr>
      <w:tr>
        <w:trPr/>
        <w:tc>
          <w:tcPr>
            <w:tcW w:w="4872"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Uncalled Capital</w:t>
            </w:r>
          </w:p>
        </w:tc>
        <w:tc>
          <w:tcPr>
            <w:tcW w:w="4873"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The portion of an LP's total commitment that has not yet been called by the GP</w:t>
            </w:r>
          </w:p>
        </w:tc>
      </w:tr>
      <w:tr>
        <w:trPr/>
        <w:tc>
          <w:tcPr>
            <w:tcW w:w="4872"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BUSA Rate</w:t>
            </w:r>
          </w:p>
        </w:tc>
        <w:tc>
          <w:tcPr>
            <w:tcW w:w="4873"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Bank USA advance rate; UBS's classification-based advance rate schedule (90/75/65/50/0%)</w:t>
            </w:r>
          </w:p>
        </w:tc>
      </w:tr>
      <w:tr>
        <w:trPr/>
        <w:tc>
          <w:tcPr>
            <w:tcW w:w="4872"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Concentration Limit</w:t>
            </w:r>
          </w:p>
        </w:tc>
        <w:tc>
          <w:tcPr>
            <w:tcW w:w="4873"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Per-LP cap on how much uncalled capital can contribute to the borrowing base</w:t>
            </w:r>
          </w:p>
        </w:tc>
      </w:tr>
      <w:tr>
        <w:trPr/>
        <w:tc>
          <w:tcPr>
            <w:tcW w:w="4872"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Reclassified</w:t>
            </w:r>
          </w:p>
        </w:tc>
        <w:tc>
          <w:tcPr>
            <w:tcW w:w="4873"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Flag indicating that a credit officer has manually overridden the algorithmically-assigned LP classification</w:t>
            </w:r>
          </w:p>
        </w:tc>
      </w:tr>
      <w:tr>
        <w:trPr/>
        <w:tc>
          <w:tcPr>
            <w:tcW w:w="4872"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UBS Included</w:t>
            </w:r>
          </w:p>
        </w:tc>
        <w:tc>
          <w:tcPr>
            <w:tcW w:w="4873"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Flag indicating an LP is counted in UBS BB aggregates (Y) or excluded by CO decision (N)</w:t>
            </w:r>
          </w:p>
        </w:tc>
      </w:tr>
      <w:tr>
        <w:trPr/>
        <w:tc>
          <w:tcPr>
            <w:tcW w:w="4872"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Transferee</w:t>
            </w:r>
          </w:p>
        </w:tc>
        <w:tc>
          <w:tcPr>
            <w:tcW w:w="4873"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An LP whose commitment position was acquired by transfer; affects eligibility</w:t>
            </w:r>
          </w:p>
        </w:tc>
      </w:tr>
      <w:tr>
        <w:trPr/>
        <w:tc>
          <w:tcPr>
            <w:tcW w:w="4872"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MAC</w:t>
            </w:r>
          </w:p>
        </w:tc>
        <w:tc>
          <w:tcPr>
            <w:tcW w:w="4873"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Master Access Control; UBS's enterprise entitlement management system</w:t>
            </w:r>
          </w:p>
        </w:tc>
      </w:tr>
      <w:tr>
        <w:trPr/>
        <w:tc>
          <w:tcPr>
            <w:tcW w:w="4872"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b/>
                <w:b/>
                <w:bCs/>
                <w:sz w:val="20"/>
                <w:szCs w:val="20"/>
              </w:rPr>
            </w:pPr>
            <w:r>
              <w:rPr>
                <w:b/>
                <w:bCs/>
                <w:sz w:val="20"/>
                <w:szCs w:val="20"/>
              </w:rPr>
              <w:t>Deal site</w:t>
            </w:r>
          </w:p>
        </w:tc>
        <w:tc>
          <w:tcPr>
            <w:tcW w:w="4873" w:type="dxa"/>
            <w:tcBorders>
              <w:top w:val="single" w:sz="4" w:space="0" w:color="000000"/>
              <w:left w:val="single" w:sz="4" w:space="0" w:color="000000"/>
              <w:bottom w:val="single" w:sz="4" w:space="0" w:color="000000"/>
              <w:right w:val="single" w:sz="4" w:space="0" w:color="000000"/>
            </w:tcBorders>
            <w:shd w:fill="F2F4F8" w:val="clear"/>
          </w:tcPr>
          <w:p>
            <w:pPr>
              <w:pStyle w:val="Normal"/>
              <w:widowControl w:val="false"/>
              <w:rPr>
                <w:sz w:val="20"/>
                <w:szCs w:val="20"/>
              </w:rPr>
            </w:pPr>
            <w:r>
              <w:rPr>
                <w:sz w:val="20"/>
                <w:szCs w:val="20"/>
              </w:rPr>
              <w:t>Loan administration portal where agent banks post BB certificates for lender download. Common platforms: SyndTrak (Goldman Sachs), Intralinks (JPMorgan, Citibank), Debt Domain (Wells Fargo). Credit Officers download certificates manually and upload to the platform.</w:t>
            </w:r>
          </w:p>
        </w:tc>
      </w:tr>
      <w:tr>
        <w:trPr/>
        <w:tc>
          <w:tcPr>
            <w:tcW w:w="4872" w:type="dxa"/>
            <w:tcBorders>
              <w:top w:val="single" w:sz="4" w:space="0" w:color="000000"/>
              <w:left w:val="single" w:sz="4" w:space="0" w:color="000000"/>
              <w:bottom w:val="single" w:sz="4" w:space="0" w:color="000000"/>
              <w:right w:val="single" w:sz="4" w:space="0" w:color="000000"/>
            </w:tcBorders>
          </w:tcPr>
          <w:p>
            <w:pPr>
              <w:pStyle w:val="Normal"/>
              <w:widowControl w:val="false"/>
              <w:rPr>
                <w:b/>
                <w:b/>
                <w:bCs/>
                <w:sz w:val="20"/>
                <w:szCs w:val="20"/>
              </w:rPr>
            </w:pPr>
            <w:r>
              <w:rPr>
                <w:b/>
                <w:bCs/>
                <w:sz w:val="20"/>
                <w:szCs w:val="20"/>
              </w:rPr>
              <w:t>pg_trgm</w:t>
            </w:r>
          </w:p>
        </w:tc>
        <w:tc>
          <w:tcPr>
            <w:tcW w:w="4873" w:type="dxa"/>
            <w:tcBorders>
              <w:top w:val="single" w:sz="4" w:space="0" w:color="000000"/>
              <w:left w:val="single" w:sz="4" w:space="0" w:color="000000"/>
              <w:bottom w:val="single" w:sz="4" w:space="0" w:color="000000"/>
              <w:right w:val="single" w:sz="4" w:space="0" w:color="000000"/>
            </w:tcBorders>
          </w:tcPr>
          <w:p>
            <w:pPr>
              <w:pStyle w:val="Normal"/>
              <w:widowControl w:val="false"/>
              <w:rPr>
                <w:sz w:val="20"/>
                <w:szCs w:val="20"/>
              </w:rPr>
            </w:pPr>
            <w:r>
              <w:rPr>
                <w:sz w:val="20"/>
                <w:szCs w:val="20"/>
              </w:rPr>
              <w:t>PostgreSQL trigram similarity extension; used as a pre-filter to reduce the LP Master candidate set before full Jaro-Winkler scoring</w:t>
            </w:r>
          </w:p>
        </w:tc>
      </w:tr>
    </w:tbl>
    <w:sectPr>
      <w:type w:val="nextPage"/>
      <w:pgSz w:w="11906" w:h="16838"/>
      <w:pgMar w:left="1080" w:right="1080" w:gutter="0" w:header="0" w:top="1080" w:footer="0" w:bottom="108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w:charset w:val="00"/>
    <w:family w:val="swiss"/>
    <w:pitch w:val="variable"/>
  </w:font>
  <w:font w:name="Liberation Sans">
    <w:altName w:val="Arial"/>
    <w:charset w:val="00"/>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val="bestFit" w:percent="227"/>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222222"/>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222222"/>
      <w:kern w:val="0"/>
      <w:sz w:val="22"/>
      <w:szCs w:val="22"/>
      <w:lang w:val="en-US" w:eastAsia="zh-CN" w:bidi="hi-IN"/>
    </w:rPr>
  </w:style>
  <w:style w:type="paragraph" w:styleId="Heading1">
    <w:name w:val="Heading 1"/>
    <w:basedOn w:val="Heading"/>
    <w:qFormat/>
    <w:pPr>
      <w:pBdr>
        <w:bottom w:val="single" w:sz="4" w:space="0" w:color="2E75B6"/>
      </w:pBdr>
      <w:spacing w:before="400" w:after="120"/>
    </w:pPr>
    <w:rPr>
      <w:rFonts w:ascii="Calibri" w:hAnsi="Calibri" w:eastAsia="Calibri" w:cs="Calibri"/>
      <w:b/>
      <w:bCs/>
      <w:color w:val="1C2D5A"/>
      <w:sz w:val="32"/>
      <w:szCs w:val="32"/>
    </w:rPr>
  </w:style>
  <w:style w:type="paragraph" w:styleId="Heading2">
    <w:name w:val="Heading 2"/>
    <w:basedOn w:val="Heading"/>
    <w:qFormat/>
    <w:pPr>
      <w:spacing w:before="280" w:after="80"/>
    </w:pPr>
    <w:rPr>
      <w:rFonts w:ascii="Calibri" w:hAnsi="Calibri" w:eastAsia="Calibri" w:cs="Calibri"/>
      <w:b/>
      <w:bCs/>
      <w:color w:val="2E75B6"/>
      <w:sz w:val="26"/>
      <w:szCs w:val="26"/>
    </w:rPr>
  </w:style>
  <w:style w:type="paragraph" w:styleId="Heading3">
    <w:name w:val="Heading 3"/>
    <w:basedOn w:val="Heading"/>
    <w:qFormat/>
    <w:pPr>
      <w:spacing w:before="200" w:after="60"/>
    </w:pPr>
    <w:rPr>
      <w:rFonts w:ascii="Calibri" w:hAnsi="Calibri" w:eastAsia="Calibri" w:cs="Calibri"/>
      <w:b/>
      <w:bCs/>
      <w:color w:val="444444"/>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Reference"/>
    <w:rPr>
      <w:vertAlign w:val="superscript"/>
    </w:rPr>
  </w:style>
  <w:style w:type="character" w:styleId="FootnoteTextChar">
    <w:name w:val="Footnote Text Char"/>
    <w:link w:val="Footnote"/>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Anchor">
    <w:name w:val="Endnote Reference"/>
    <w:rPr>
      <w:vertAlign w:val="superscript"/>
    </w:rPr>
  </w:style>
  <w:style w:type="character" w:styleId="EndnoteTextChar">
    <w:name w:val="Endnote Text Char"/>
    <w:link w:val="Endnote"/>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
    <w:name w:val="Strong"/>
    <w:qFormat/>
    <w:pPr>
      <w:widowControl/>
      <w:bidi w:val="0"/>
      <w:spacing w:before="0" w:after="0"/>
      <w:jc w:val="left"/>
    </w:pPr>
    <w:rPr>
      <w:rFonts w:ascii="Calibri" w:hAnsi="Calibri" w:eastAsia="Calibri" w:cs="Calibri"/>
      <w:b/>
      <w:bCs/>
      <w:color w:val="222222"/>
      <w:kern w:val="0"/>
      <w:sz w:val="22"/>
      <w:szCs w:val="22"/>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222222"/>
      <w:kern w:val="0"/>
      <w:sz w:val="22"/>
      <w:szCs w:val="22"/>
      <w:lang w:val="en-US" w:eastAsia="zh-CN" w:bidi="hi-IN"/>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Endnote">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7</TotalTime>
  <Application>LibreOffice/7.4.5.1$Windows_X86_64 LibreOffice_project/9c0871452b3918c1019dde9bfac75448afc4b57f</Application>
  <AppVersion>15.0000</AppVersion>
  <Pages>18</Pages>
  <Words>5516</Words>
  <Characters>32837</Characters>
  <CharactersWithSpaces>37204</CharactersWithSpaces>
  <Paragraphs>1207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2026-05-24T02:15:21Z</dcterms:created>
  <dc:creator>Un-named</dc:creator>
  <dc:description/>
  <dc:language>en-US</dc:language>
  <cp:lastModifiedBy/>
  <dcterms:modified xsi:type="dcterms:W3CDTF">2026-06-14T18:34:22Z</dcterms:modified>
  <cp:revision>3</cp:revision>
  <dc:subject/>
  <dc:title/>
</cp:coreProperties>
</file>