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292929"/>
          <w:sz w:val="58"/>
          <w:szCs w:val="58"/>
        </w:rPr>
        <w:t xml:space="preserve">PE SUB PLATFORM</w:t>
      </w:r>
    </w:p>
    <w:p>
      <w:pPr>
        <w:pBdr>
          <w:bottom w:val="thick" w:color="C00000" w:sz="24"/>
        </w:pBdr>
        <w:spacing w:after="220"/>
      </w:pPr>
      <w:r>
        <w:rPr>
          <w:b/>
          <w:bCs/>
          <w:color w:val="C00000"/>
          <w:sz w:val="42"/>
          <w:szCs w:val="42"/>
        </w:rPr>
        <w:t xml:space="preserve">Solution Design v3</w:t>
      </w:r>
    </w:p>
    <w:p>
      <w:pPr>
        <w:spacing w:after="500"/>
      </w:pPr>
      <w:r>
        <w:rPr>
          <w:color w:val="454545"/>
          <w:sz w:val="25"/>
          <w:szCs w:val="25"/>
        </w:rPr>
        <w:t xml:space="preserve">Consolidated Business, Application, Data, Security and Azure Design</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Document attribute</w:t>
            </w:r>
          </w:p>
        </w:tc>
        <w:tc>
          <w:tcPr>
            <w:shd w:fill="292929" w:val="clear"/>
            <w:tcMar>
              <w:top w:type="dxa" w:w="80"/>
              <w:left w:type="dxa" w:w="100"/>
              <w:bottom w:type="dxa" w:w="80"/>
              <w:right w:type="dxa" w:w="100"/>
            </w:tcMar>
          </w:tcPr>
          <w:p>
            <w:pPr>
              <w:spacing w:after="0"/>
            </w:pPr>
            <w:r>
              <w:rPr>
                <w:b/>
                <w:bCs/>
                <w:color w:val="FFFFFF"/>
                <w:sz w:val="18"/>
                <w:szCs w:val="18"/>
              </w:rPr>
              <w:t xml:space="preserve">Value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Version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3.0</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Date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10 July 2026</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Status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Consolidated Technical Design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Classification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UBS Confidential</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Audience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Lending Technology · PE Subscription Finance · Credit Risk · Operations · Architecture · Security</w:t>
            </w:r>
          </w:p>
        </w:tc>
      </w:tr>
    </w:tbl>
    <w:p>
      <w:pPr>
        <w:spacing w:before="700"/>
        <w:jc w:val="center"/>
      </w:pPr>
      <w:r>
        <w:rPr>
          <w:b/>
          <w:bCs/>
          <w:color w:val="C00000"/>
          <w:sz w:val="18"/>
          <w:szCs w:val="18"/>
        </w:rPr>
        <w:t xml:space="preserve">UBS CONFIDENTIAL</w:t>
      </w:r>
    </w:p>
    <w:p>
      <w:r>
        <w:br w:type="page"/>
      </w:r>
    </w:p>
    <w:p>
      <w:pPr>
        <w:pStyle w:val="Heading1"/>
        <w:pBdr>
          <w:bottom w:val="single" w:color="C00000" w:sz="8"/>
        </w:pBdr>
      </w:pPr>
      <w:r>
        <w:rPr>
          <w:color w:val="292929"/>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105" w:line="290"/>
      </w:pPr>
      <w:r>
        <w:rPr>
          <w:color w:val="292929"/>
          <w:sz w:val="20"/>
          <w:szCs w:val="20"/>
        </w:rPr>
        <w:t xml:space="preserve">Version: 3.0 Date: 10 July 2026 Status: Consolidated Technical Design Classification: UBS Confidential Audience: Lending Technology, PE Subscription Finance, Credit Risk, Operations, Architecture, Security and Production Support</w:t>
      </w:r>
    </w:p>
    <w:p>
      <w:pPr>
        <w:pBdr>
          <w:left w:val="thick" w:color="C00000" w:sz="14"/>
        </w:pBdr>
        <w:shd w:fill="FCE8E6" w:val="clear"/>
        <w:spacing w:after="120" w:before="80"/>
        <w:ind w:left="180"/>
      </w:pPr>
      <w:r>
        <w:rPr>
          <w:i/>
          <w:iCs/>
          <w:color w:val="454545"/>
          <w:sz w:val="19"/>
          <w:szCs w:val="19"/>
        </w:rPr>
        <w:t xml:space="preserve">This document is a new consolidated design baseline. It combines the current implementation, approved target controls and the detailed domain contracts held across the PE Sub repositories. Green status means implemented or approved; red status means a production gap or unresolved control. Where target and current implementation differ, both are stated explicitly.</w:t>
      </w:r>
    </w:p>
    <w:p>
      <w:r>
        <w:br w:type="page"/>
      </w:r>
    </w:p>
    <w:p>
      <w:pPr>
        <w:pStyle w:val="Heading1"/>
        <w:pBdr>
          <w:bottom w:val="single" w:color="C00000" w:sz="8"/>
        </w:pBdr>
        <w:spacing w:after="100" w:before="260"/>
      </w:pPr>
      <w:r>
        <w:rPr>
          <w:color w:val="292929"/>
        </w:rPr>
        <w:t xml:space="preserve">1. Executive Summary</w:t>
      </w:r>
    </w:p>
    <w:p>
      <w:pPr>
        <w:spacing w:after="105" w:line="290"/>
      </w:pPr>
      <w:r>
        <w:rPr>
          <w:color w:val="292929"/>
          <w:sz w:val="20"/>
          <w:szCs w:val="20"/>
        </w:rPr>
        <w:t xml:space="preserve">The PE Sub Platform supports UBS monitoring and credit analysis for Private Equity Limited Partner subscription credit facilities. It ingests heterogeneous Agent Bank Borrowing Base workbooks, recognizes their template, extracts and normalizes LP data, resolves LP identities against the UBS LP Master, applies UBS Lending criteria and produces a persisted Shadow Borrowing Base with concentration alerts and reporting.</w:t>
      </w:r>
    </w:p>
    <w:p>
      <w:pPr>
        <w:spacing w:after="105" w:line="290"/>
      </w:pPr>
      <w:r>
        <w:rPr>
          <w:color w:val="292929"/>
          <w:sz w:val="20"/>
          <w:szCs w:val="20"/>
        </w:rPr>
        <w:t xml:space="preserve">The solution is a four-application system on a shared PostgreSQL data platform: React UI, core Spring Boot API, stateless Spring Boot extraction service and Spring Batch ingestion service. AKS is the confirmed UBS Azure compute target. The target identity model uses UBS Intra ID OIDC Authorization Code with PKCE and Entra App Roles governed through AACM and MAC.</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Design dimension</w:t>
            </w:r>
          </w:p>
        </w:tc>
        <w:tc>
          <w:tcPr>
            <w:shd w:fill="292929" w:val="clear"/>
            <w:tcMar>
              <w:top w:type="dxa" w:w="80"/>
              <w:left w:type="dxa" w:w="100"/>
              <w:bottom w:type="dxa" w:w="80"/>
              <w:right w:type="dxa" w:w="100"/>
            </w:tcMar>
          </w:tcPr>
          <w:p>
            <w:pPr>
              <w:spacing w:after="0"/>
            </w:pPr>
            <w:r>
              <w:rPr>
                <w:b/>
                <w:bCs/>
                <w:color w:val="FFFFFF"/>
                <w:sz w:val="18"/>
                <w:szCs w:val="18"/>
              </w:rPr>
              <w:t xml:space="preserve">Decision</w:t>
            </w:r>
          </w:p>
        </w:tc>
        <w:tc>
          <w:tcPr>
            <w:shd w:fill="292929" w:val="clear"/>
            <w:tcMar>
              <w:top w:type="dxa" w:w="80"/>
              <w:left w:type="dxa" w:w="100"/>
              <w:bottom w:type="dxa" w:w="80"/>
              <w:right w:type="dxa" w:w="100"/>
            </w:tcMar>
          </w:tcPr>
          <w:p>
            <w:pPr>
              <w:spacing w:after="0"/>
            </w:pPr>
            <w:r>
              <w:rPr>
                <w:b/>
                <w:bCs/>
                <w:color w:val="FFFFFF"/>
                <w:sz w:val="18"/>
                <w:szCs w:val="18"/>
              </w:rPr>
              <w:t xml:space="preserve">Status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Business calculation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pe-sub-api is authoritative for classification criteria, BB calculations, breaches and persisted snapshots</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Workbook parsing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pe-sub-extraction is stateless and deterministic; recognition remains in the API</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Template governance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Import-driven registry; no Agent Bank or fund name hardcoded in parser logic</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Data persistence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PostgreSQL 16 with API-owned Flyway schema; exact numeric companions retained with display strings</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Identity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Intra ID OIDC + PKCE; API validates access token; APP_ANALYST and APP_MANAGER</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GREEN — approved target / RED — integration pending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Deployment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AKS, same-origin ingress, Key Vault CSI and Azure PostgreSQL Flexible Server</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GREEN — target selected / RED — landing-zone values pending</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Production scale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 remains one replica while uploads use pod-local storage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Azure Files/blob remediation required</w:t>
            </w:r>
          </w:p>
        </w:tc>
      </w:tr>
    </w:tbl>
    <w:p>
      <w:pPr>
        <w:spacing w:after="120"/>
      </w:pPr>
    </w:p>
    <w:p>
      <w:r>
        <w:br w:type="page"/>
      </w:r>
    </w:p>
    <w:p>
      <w:pPr>
        <w:pStyle w:val="Heading1"/>
        <w:pBdr>
          <w:bottom w:val="single" w:color="C00000" w:sz="8"/>
        </w:pBdr>
        <w:spacing w:after="100" w:before="260"/>
      </w:pPr>
      <w:r>
        <w:rPr>
          <w:color w:val="292929"/>
        </w:rPr>
        <w:t xml:space="preserve">2. Private Equity Subscription Lending Context</w:t>
      </w:r>
    </w:p>
    <w:p>
      <w:pPr>
        <w:spacing w:after="105" w:line="290"/>
      </w:pPr>
      <w:r>
        <w:rPr>
          <w:color w:val="292929"/>
          <w:sz w:val="20"/>
          <w:szCs w:val="20"/>
        </w:rPr>
        <w:t xml:space="preserve">A subscription credit facility is a revolving loan to a private equity fund secured primarily by the uncalled capital commitments of its Limited Partners. The fund can draw before issuing a capital call; repayment is supported by enforceable LP funding obligations. Credit quality therefore depends on the identity, strength, eligibility and remaining commitment of each LP.</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Participant</w:t>
            </w:r>
          </w:p>
        </w:tc>
        <w:tc>
          <w:tcPr>
            <w:shd w:fill="292929" w:val="clear"/>
            <w:tcMar>
              <w:top w:type="dxa" w:w="80"/>
              <w:left w:type="dxa" w:w="100"/>
              <w:bottom w:type="dxa" w:w="80"/>
              <w:right w:type="dxa" w:w="100"/>
            </w:tcMar>
          </w:tcPr>
          <w:p>
            <w:pPr>
              <w:spacing w:after="0"/>
            </w:pPr>
            <w:r>
              <w:rPr>
                <w:b/>
                <w:bCs/>
                <w:color w:val="FFFFFF"/>
                <w:sz w:val="18"/>
                <w:szCs w:val="18"/>
              </w:rPr>
              <w:t xml:space="preserve">Responsibility in the operating model</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General Partner / Fund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Borrower or fund sponsor; issues capital calls and supplies collateral information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Limited Partner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Investor whose uncalled commitment supports the collateral pool</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Agent Bank</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Administers the lending syndicate and publishes the Agent BB workbook</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UBS Analyst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Reconciles Agent data, resolves LPs, prepares UBS Shadow BB and manages Lending criteria configuration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Account/Transaction Manager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Independent reviewer; may override/reassign with reason and accept or reject completed work</w:t>
            </w:r>
          </w:p>
        </w:tc>
      </w:tr>
    </w:tbl>
    <w:p>
      <w:pPr>
        <w:spacing w:after="120"/>
      </w:pPr>
    </w:p>
    <w:p>
      <w:pPr>
        <w:spacing w:after="105" w:line="290"/>
      </w:pPr>
      <w:r>
        <w:rPr>
          <w:color w:val="292929"/>
          <w:sz w:val="20"/>
          <w:szCs w:val="20"/>
        </w:rPr>
        <w:t xml:space="preserve">The Agent BB is evidence supplied by the Agent Bank. The UBS Shadow BB is an independent Lending calculation using UBS classifications, advance rates, concentration limits and exclusion logic. Agent values remain visible for reconciliation but never replace UBS policy inputs silently.</w:t>
      </w:r>
    </w:p>
    <w:p>
      <w:pPr>
        <w:pStyle w:val="Heading2"/>
        <w:spacing w:after="100" w:before="180"/>
      </w:pPr>
      <w:r>
        <w:rPr>
          <w:color w:val="454545"/>
        </w:rPr>
        <w:t xml:space="preserve">2.1 Core calculation</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Measure</w:t>
            </w:r>
          </w:p>
        </w:tc>
        <w:tc>
          <w:tcPr>
            <w:shd w:fill="292929" w:val="clear"/>
            <w:tcMar>
              <w:top w:type="dxa" w:w="80"/>
              <w:left w:type="dxa" w:w="100"/>
              <w:bottom w:type="dxa" w:w="80"/>
              <w:right w:type="dxa" w:w="100"/>
            </w:tcMar>
          </w:tcPr>
          <w:p>
            <w:pPr>
              <w:spacing w:after="0"/>
            </w:pPr>
            <w:r>
              <w:rPr>
                <w:b/>
                <w:bCs/>
                <w:color w:val="FFFFFF"/>
                <w:sz w:val="18"/>
                <w:szCs w:val="18"/>
              </w:rPr>
              <w:t xml:space="preserve">Definition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Called Capital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Commitment minus Uncalled Capital</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LP eligible uncalled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Minimum of uncalled capital and the applicable LP concentration cap, subject to eligibility</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UBS BB contribution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Eligible uncalled multiplied by UBS advance rate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Agent BB contribution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Agent-reported or derived comparison amount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BB delta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UBS BB minus Agent BB</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Effective Advance Rate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Total BB divided by eligible uncalled capital</w:t>
            </w:r>
          </w:p>
        </w:tc>
      </w:tr>
    </w:tbl>
    <w:p>
      <w:pPr>
        <w:spacing w:after="120"/>
      </w:pPr>
    </w:p>
    <w:p>
      <w:pPr>
        <w:spacing w:after="105" w:line="290"/>
      </w:pPr>
      <w:r>
        <w:rPr>
          <w:color w:val="292929"/>
          <w:sz w:val="20"/>
          <w:szCs w:val="20"/>
        </w:rPr>
        <w:t xml:space="preserve">Shadow BB work is initiated for a credit decision such as renewal, amendment or new origination—not automatically for every received workbook. There is no internally produced “certificate” artifact. Following independent acceptance, the facility transitions to Active and accepted reports become available.</w:t>
      </w:r>
    </w:p>
    <w:p>
      <w:r>
        <w:br w:type="page"/>
      </w:r>
    </w:p>
    <w:p>
      <w:pPr>
        <w:pStyle w:val="Heading1"/>
        <w:pBdr>
          <w:bottom w:val="single" w:color="C00000" w:sz="8"/>
        </w:pBdr>
        <w:spacing w:after="100" w:before="260"/>
      </w:pPr>
      <w:r>
        <w:rPr>
          <w:color w:val="292929"/>
        </w:rPr>
        <w:t xml:space="preserve">3. Solution Landscape</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Repository</w:t>
            </w:r>
          </w:p>
        </w:tc>
        <w:tc>
          <w:tcPr>
            <w:shd w:fill="292929" w:val="clear"/>
            <w:tcMar>
              <w:top w:type="dxa" w:w="80"/>
              <w:left w:type="dxa" w:w="100"/>
              <w:bottom w:type="dxa" w:w="80"/>
              <w:right w:type="dxa" w:w="100"/>
            </w:tcMar>
          </w:tcPr>
          <w:p>
            <w:pPr>
              <w:spacing w:after="0"/>
            </w:pPr>
            <w:r>
              <w:rPr>
                <w:b/>
                <w:bCs/>
                <w:color w:val="FFFFFF"/>
                <w:sz w:val="18"/>
                <w:szCs w:val="18"/>
              </w:rPr>
              <w:t xml:space="preserve">Runtime</w:t>
            </w:r>
          </w:p>
        </w:tc>
        <w:tc>
          <w:tcPr>
            <w:shd w:fill="292929" w:val="clear"/>
            <w:tcMar>
              <w:top w:type="dxa" w:w="80"/>
              <w:left w:type="dxa" w:w="100"/>
              <w:bottom w:type="dxa" w:w="80"/>
              <w:right w:type="dxa" w:w="100"/>
            </w:tcMar>
          </w:tcPr>
          <w:p>
            <w:pPr>
              <w:spacing w:after="0"/>
            </w:pPr>
            <w:r>
              <w:rPr>
                <w:b/>
                <w:bCs/>
                <w:color w:val="FFFFFF"/>
                <w:sz w:val="18"/>
                <w:szCs w:val="18"/>
              </w:rPr>
              <w:t xml:space="preserve">Primary responsibility</w:t>
            </w:r>
          </w:p>
        </w:tc>
        <w:tc>
          <w:tcPr>
            <w:shd w:fill="292929" w:val="clear"/>
            <w:tcMar>
              <w:top w:type="dxa" w:w="80"/>
              <w:left w:type="dxa" w:w="100"/>
              <w:bottom w:type="dxa" w:w="80"/>
              <w:right w:type="dxa" w:w="100"/>
            </w:tcMar>
          </w:tcPr>
          <w:p>
            <w:pPr>
              <w:spacing w:after="0"/>
            </w:pPr>
            <w:r>
              <w:rPr>
                <w:b/>
                <w:bCs/>
                <w:color w:val="FFFFFF"/>
                <w:sz w:val="18"/>
                <w:szCs w:val="18"/>
              </w:rPr>
              <w:t xml:space="preserve">Default port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pe-sub-ui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React 18, TypeScript, Vite, nginx</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Operator workflow, review, configuration and reporting; no authoritative business calculation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3000 local / 8080 container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pe-sub-api</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Spring Boot 4.1, Java 25, PostgreSQL, Flyway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Domain services, orchestration, recognition, matching, calculations, configuration, persistence, audit and security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3001</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pe-sub-extraction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Spring Boot 4.1, Java 25, Apache POI / CSV</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Stateless inspect and deterministic extraction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3002</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pe-sub-jobs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Spring Boot 4.1, Java 25, Spring Batch 6</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Idempotent reference/feed ingestion and template directory import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3003</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pe-sub-infra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Kubernetes / Kustomize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Local and AKS deployment definitions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n/a</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pe-sub-docs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Markdown, OpenAPI, Word generators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Architecture, contracts, mappings and controlled design deliverables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n/a</w:t>
            </w:r>
          </w:p>
        </w:tc>
      </w:tr>
    </w:tbl>
    <w:p>
      <w:pPr>
        <w:spacing w:after="120"/>
      </w:pPr>
    </w:p>
    <w:p>
      <w:pPr>
        <w:pStyle w:val="Heading2"/>
        <w:spacing w:after="100" w:before="180"/>
      </w:pPr>
      <w:r>
        <w:rPr>
          <w:color w:val="454545"/>
        </w:rPr>
        <w:t xml:space="preserve">3.1 Logical component chart</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User / source</w:t>
            </w:r>
          </w:p>
        </w:tc>
        <w:tc>
          <w:tcPr>
            <w:shd w:fill="292929" w:val="clear"/>
            <w:tcMar>
              <w:top w:type="dxa" w:w="80"/>
              <w:left w:type="dxa" w:w="100"/>
              <w:bottom w:type="dxa" w:w="80"/>
              <w:right w:type="dxa" w:w="100"/>
            </w:tcMar>
          </w:tcPr>
          <w:p>
            <w:pPr>
              <w:spacing w:after="0"/>
            </w:pPr>
            <w:r>
              <w:rPr>
                <w:b/>
                <w:bCs/>
                <w:color w:val="FFFFFF"/>
                <w:sz w:val="18"/>
                <w:szCs w:val="18"/>
              </w:rPr>
              <w:t xml:space="preserve">Edge and presentation</w:t>
            </w:r>
          </w:p>
        </w:tc>
        <w:tc>
          <w:tcPr>
            <w:shd w:fill="292929" w:val="clear"/>
            <w:tcMar>
              <w:top w:type="dxa" w:w="80"/>
              <w:left w:type="dxa" w:w="100"/>
              <w:bottom w:type="dxa" w:w="80"/>
              <w:right w:type="dxa" w:w="100"/>
            </w:tcMar>
          </w:tcPr>
          <w:p>
            <w:pPr>
              <w:spacing w:after="0"/>
            </w:pPr>
            <w:r>
              <w:rPr>
                <w:b/>
                <w:bCs/>
                <w:color w:val="FFFFFF"/>
                <w:sz w:val="18"/>
                <w:szCs w:val="18"/>
              </w:rPr>
              <w:t xml:space="preserve">Domain tier</w:t>
            </w:r>
          </w:p>
        </w:tc>
        <w:tc>
          <w:tcPr>
            <w:shd w:fill="292929" w:val="clear"/>
            <w:tcMar>
              <w:top w:type="dxa" w:w="80"/>
              <w:left w:type="dxa" w:w="100"/>
              <w:bottom w:type="dxa" w:w="80"/>
              <w:right w:type="dxa" w:w="100"/>
            </w:tcMar>
          </w:tcPr>
          <w:p>
            <w:pPr>
              <w:spacing w:after="0"/>
            </w:pPr>
            <w:r>
              <w:rPr>
                <w:b/>
                <w:bCs/>
                <w:color w:val="FFFFFF"/>
                <w:sz w:val="18"/>
                <w:szCs w:val="18"/>
              </w:rPr>
              <w:t xml:space="preserve">Parsing / batch</w:t>
            </w:r>
          </w:p>
        </w:tc>
        <w:tc>
          <w:tcPr>
            <w:shd w:fill="292929" w:val="clear"/>
            <w:tcMar>
              <w:top w:type="dxa" w:w="80"/>
              <w:left w:type="dxa" w:w="100"/>
              <w:bottom w:type="dxa" w:w="80"/>
              <w:right w:type="dxa" w:w="100"/>
            </w:tcMar>
          </w:tcPr>
          <w:p>
            <w:pPr>
              <w:spacing w:after="0"/>
            </w:pPr>
            <w:r>
              <w:rPr>
                <w:b/>
                <w:bCs/>
                <w:color w:val="FFFFFF"/>
                <w:sz w:val="18"/>
                <w:szCs w:val="18"/>
              </w:rPr>
              <w:t xml:space="preserve">Data and platform</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UBS Analyst or Manager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Intra ID → same-origin ingress → React SPA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pe-sub-api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pe-sub-extraction for workbook inspection/extraction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PostgreSQL 16</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Agent BB workbook</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Upload wizard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Submission orchestrator → template recognition → matching → BB engine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Stateless POI parser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Upload storage + template registry + snapshots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Reference CSV / template directory</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Operations-triggered or startup feed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 cache reload / template upsert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pe-sub-jobs</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Shared PostgreSQL + mounted feed files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Support / monitoring</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Azure Monitor / structured logs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Actuator and transaction context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Health probes and batch execution metrics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Key Vault, Flexible Server, AKS</w:t>
            </w:r>
          </w:p>
        </w:tc>
      </w:tr>
    </w:tbl>
    <w:p>
      <w:pPr>
        <w:spacing w:after="120"/>
      </w:pPr>
    </w:p>
    <w:p>
      <w:pPr>
        <w:pStyle w:val="Heading2"/>
        <w:spacing w:after="100" w:before="180"/>
      </w:pPr>
      <w:r>
        <w:rPr>
          <w:color w:val="454545"/>
        </w:rPr>
        <w:t xml:space="preserve">3.2 Architecture boundaries</w:t>
      </w:r>
    </w:p>
    <w:p>
      <w:pPr>
        <w:pStyle w:val="ListParagraph"/>
        <w:numPr>
          <w:ilvl w:val="0"/>
          <w:numId w:val="1"/>
        </w:numPr>
        <w:spacing w:after="55"/>
      </w:pPr>
      <w:r>
        <w:rPr>
          <w:color w:val="292929"/>
          <w:sz w:val="20"/>
          <w:szCs w:val="20"/>
        </w:rPr>
        <w:t xml:space="preserve">The UI renders API results and may provide transient preview behavior, but must not fabricate domain data or become the system of record.</w:t>
      </w:r>
    </w:p>
    <w:p>
      <w:pPr>
        <w:pStyle w:val="ListParagraph"/>
        <w:numPr>
          <w:ilvl w:val="0"/>
          <w:numId w:val="1"/>
        </w:numPr>
        <w:spacing w:after="55"/>
      </w:pPr>
      <w:r>
        <w:rPr>
          <w:color w:val="292929"/>
          <w:sz w:val="20"/>
          <w:szCs w:val="20"/>
        </w:rPr>
        <w:t xml:space="preserve">Recognition and workflow orchestration belong to pe-sub-api; extraction does not decide the Agent Bank or template.</w:t>
      </w:r>
    </w:p>
    <w:p>
      <w:pPr>
        <w:pStyle w:val="ListParagraph"/>
        <w:numPr>
          <w:ilvl w:val="0"/>
          <w:numId w:val="1"/>
        </w:numPr>
        <w:spacing w:after="55"/>
      </w:pPr>
      <w:r>
        <w:rPr>
          <w:color w:val="292929"/>
          <w:sz w:val="20"/>
          <w:szCs w:val="20"/>
        </w:rPr>
        <w:t xml:space="preserve">The extraction service has no database and does not persist uploaded content.</w:t>
      </w:r>
    </w:p>
    <w:p>
      <w:pPr>
        <w:pStyle w:val="ListParagraph"/>
        <w:numPr>
          <w:ilvl w:val="0"/>
          <w:numId w:val="1"/>
        </w:numPr>
        <w:spacing w:after="55"/>
      </w:pPr>
      <w:r>
        <w:rPr>
          <w:color w:val="292929"/>
          <w:sz w:val="20"/>
          <w:szCs w:val="20"/>
        </w:rPr>
        <w:t xml:space="preserve">The API owns the business schema and Flyway migrations. Jobs wait for API-owned tables.</w:t>
      </w:r>
    </w:p>
    <w:p>
      <w:pPr>
        <w:pStyle w:val="ListParagraph"/>
        <w:numPr>
          <w:ilvl w:val="0"/>
          <w:numId w:val="1"/>
        </w:numPr>
        <w:spacing w:after="55"/>
      </w:pPr>
      <w:r>
        <w:rPr>
          <w:color w:val="292929"/>
          <w:sz w:val="20"/>
          <w:szCs w:val="20"/>
        </w:rPr>
        <w:t xml:space="preserve">Services use imperative blocking I/O with Java virtual threads; WebFlux is not part of the design.</w:t>
      </w:r>
    </w:p>
    <w:p>
      <w:pPr>
        <w:pStyle w:val="ListParagraph"/>
        <w:numPr>
          <w:ilvl w:val="0"/>
          <w:numId w:val="1"/>
        </w:numPr>
        <w:spacing w:after="55"/>
      </w:pPr>
      <w:r>
        <w:rPr>
          <w:color w:val="292929"/>
          <w:sz w:val="20"/>
          <w:szCs w:val="20"/>
        </w:rPr>
        <w:t xml:space="preserve">Human App Roles and workload/service permissions are distinct security domains.</w:t>
      </w:r>
    </w:p>
    <w:p>
      <w:r>
        <w:br w:type="page"/>
      </w:r>
    </w:p>
    <w:p>
      <w:pPr>
        <w:pStyle w:val="Heading1"/>
        <w:pBdr>
          <w:bottom w:val="single" w:color="C00000" w:sz="8"/>
        </w:pBdr>
        <w:spacing w:after="100" w:before="260"/>
      </w:pPr>
      <w:r>
        <w:rPr>
          <w:color w:val="292929"/>
        </w:rPr>
        <w:t xml:space="preserve">4. New Borrowing Base Process Flow</w:t>
      </w:r>
    </w:p>
    <w:p>
      <w:pPr>
        <w:pStyle w:val="Heading2"/>
        <w:spacing w:after="100" w:before="180"/>
      </w:pPr>
      <w:r>
        <w:rPr>
          <w:color w:val="454545"/>
        </w:rPr>
        <w:t xml:space="preserve">4.1 End-to-end flow grid</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Stage</w:t>
            </w:r>
          </w:p>
        </w:tc>
        <w:tc>
          <w:tcPr>
            <w:shd w:fill="292929" w:val="clear"/>
            <w:tcMar>
              <w:top w:type="dxa" w:w="80"/>
              <w:left w:type="dxa" w:w="100"/>
              <w:bottom w:type="dxa" w:w="80"/>
              <w:right w:type="dxa" w:w="100"/>
            </w:tcMar>
          </w:tcPr>
          <w:p>
            <w:pPr>
              <w:spacing w:after="0"/>
            </w:pPr>
            <w:r>
              <w:rPr>
                <w:b/>
                <w:bCs/>
                <w:color w:val="FFFFFF"/>
                <w:sz w:val="18"/>
                <w:szCs w:val="18"/>
              </w:rPr>
              <w:t xml:space="preserve">Actor / service</w:t>
            </w:r>
          </w:p>
        </w:tc>
        <w:tc>
          <w:tcPr>
            <w:shd w:fill="292929" w:val="clear"/>
            <w:tcMar>
              <w:top w:type="dxa" w:w="80"/>
              <w:left w:type="dxa" w:w="100"/>
              <w:bottom w:type="dxa" w:w="80"/>
              <w:right w:type="dxa" w:w="100"/>
            </w:tcMar>
          </w:tcPr>
          <w:p>
            <w:pPr>
              <w:spacing w:after="0"/>
            </w:pPr>
            <w:r>
              <w:rPr>
                <w:b/>
                <w:bCs/>
                <w:color w:val="FFFFFF"/>
                <w:sz w:val="18"/>
                <w:szCs w:val="18"/>
              </w:rPr>
              <w:t xml:space="preserve">Input</w:t>
            </w:r>
          </w:p>
        </w:tc>
        <w:tc>
          <w:tcPr>
            <w:shd w:fill="292929" w:val="clear"/>
            <w:tcMar>
              <w:top w:type="dxa" w:w="80"/>
              <w:left w:type="dxa" w:w="100"/>
              <w:bottom w:type="dxa" w:w="80"/>
              <w:right w:type="dxa" w:w="100"/>
            </w:tcMar>
          </w:tcPr>
          <w:p>
            <w:pPr>
              <w:spacing w:after="0"/>
            </w:pPr>
            <w:r>
              <w:rPr>
                <w:b/>
                <w:bCs/>
                <w:color w:val="FFFFFF"/>
                <w:sz w:val="18"/>
                <w:szCs w:val="18"/>
              </w:rPr>
              <w:t xml:space="preserve">Processing and control</w:t>
            </w:r>
          </w:p>
        </w:tc>
        <w:tc>
          <w:tcPr>
            <w:shd w:fill="292929" w:val="clear"/>
            <w:tcMar>
              <w:top w:type="dxa" w:w="80"/>
              <w:left w:type="dxa" w:w="100"/>
              <w:bottom w:type="dxa" w:w="80"/>
              <w:right w:type="dxa" w:w="100"/>
            </w:tcMar>
          </w:tcPr>
          <w:p>
            <w:pPr>
              <w:spacing w:after="0"/>
            </w:pPr>
            <w:r>
              <w:rPr>
                <w:b/>
                <w:bCs/>
                <w:color w:val="FFFFFF"/>
                <w:sz w:val="18"/>
                <w:szCs w:val="18"/>
              </w:rPr>
              <w:t xml:space="preserve">Persisted output</w:t>
            </w:r>
          </w:p>
        </w:tc>
        <w:tc>
          <w:tcPr>
            <w:shd w:fill="292929" w:val="clear"/>
            <w:tcMar>
              <w:top w:type="dxa" w:w="80"/>
              <w:left w:type="dxa" w:w="100"/>
              <w:bottom w:type="dxa" w:w="80"/>
              <w:right w:type="dxa" w:w="100"/>
            </w:tcMar>
          </w:tcPr>
          <w:p>
            <w:pPr>
              <w:spacing w:after="0"/>
            </w:pPr>
            <w:r>
              <w:rPr>
                <w:b/>
                <w:bCs/>
                <w:color w:val="FFFFFF"/>
                <w:sz w:val="18"/>
                <w:szCs w:val="18"/>
              </w:rPr>
              <w:t xml:space="preserve">Exit condition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1. Select facility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Analyst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 registry</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Select facility and credit period; verify workflow status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Active context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 eligible for submission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2. Upload Agent 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Analyst → API</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XLSX/CSV, agent, period, notes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Sanitize filename; persist Processing submission; enqueue bounded async work; return 202</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Submission + stored upload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Background pipeline accepted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3. Inspect and recognize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 ↔ Extraction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Workbook</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Inspect sheet names/first rows; score registry signals; optional explicit operator template override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Resolved template decision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One template selected or Error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4. Extract and review</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Extraction → API → UI</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Resolved template + alias/group config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Parse rows; filter sparse/summary rows; derive missing canonical cross-check fields; display mapping confidence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Submission extraction JSON + field map</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Analyst confirms extraction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5. Match LP identities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 + Analyst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Extracted LP names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Normalize, score, auto-accept high confidence; review borderline; reject/create new where approved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Match queue decisions; facility LP records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Decisions committed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6. Assign UBS criteria</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Analyst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Persisted LP records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Resolve suggested classification, funding band, rating band, advance rate and concentration limit; allow audited override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Submission-specific decisions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Ready to calculate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7. Run Shadow BB</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 records, effective rates, criteria, overrides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Calculate exact-dollar BB; rank LPs; evaluate concentration rules; persist append-only snapshot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BB snapshot + breaches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Analyst submits for review</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8. Independent review</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Manager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Completed snapshot and audit evidence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Maker/checker validation; accept or reject; override requires reason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Review outcome and identity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Accepted → facility Active; rejected → actionable state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9. Reporting</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Analyst / Manager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Accepted snapshot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Collateral, EAR, exposure, concentration and ad hoc views; export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Report history</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Controlled report delivered</w:t>
            </w:r>
          </w:p>
        </w:tc>
      </w:tr>
    </w:tbl>
    <w:p>
      <w:pPr>
        <w:spacing w:after="120"/>
      </w:pPr>
    </w:p>
    <w:p>
      <w:pPr>
        <w:pStyle w:val="Heading2"/>
        <w:spacing w:after="100" w:before="180"/>
      </w:pPr>
      <w:r>
        <w:rPr>
          <w:color w:val="454545"/>
        </w:rPr>
        <w:t xml:space="preserve">4.2 Submission state model</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State</w:t>
            </w:r>
          </w:p>
        </w:tc>
        <w:tc>
          <w:tcPr>
            <w:shd w:fill="292929" w:val="clear"/>
            <w:tcMar>
              <w:top w:type="dxa" w:w="80"/>
              <w:left w:type="dxa" w:w="100"/>
              <w:bottom w:type="dxa" w:w="80"/>
              <w:right w:type="dxa" w:w="100"/>
            </w:tcMar>
          </w:tcPr>
          <w:p>
            <w:pPr>
              <w:spacing w:after="0"/>
            </w:pPr>
            <w:r>
              <w:rPr>
                <w:b/>
                <w:bCs/>
                <w:color w:val="FFFFFF"/>
                <w:sz w:val="18"/>
                <w:szCs w:val="18"/>
              </w:rPr>
              <w:t xml:space="preserve">Meaning</w:t>
            </w:r>
          </w:p>
        </w:tc>
        <w:tc>
          <w:tcPr>
            <w:shd w:fill="292929" w:val="clear"/>
            <w:tcMar>
              <w:top w:type="dxa" w:w="80"/>
              <w:left w:type="dxa" w:w="100"/>
              <w:bottom w:type="dxa" w:w="80"/>
              <w:right w:type="dxa" w:w="100"/>
            </w:tcMar>
          </w:tcPr>
          <w:p>
            <w:pPr>
              <w:spacing w:after="0"/>
            </w:pPr>
            <w:r>
              <w:rPr>
                <w:b/>
                <w:bCs/>
                <w:color w:val="FFFFFF"/>
                <w:sz w:val="18"/>
                <w:szCs w:val="18"/>
              </w:rPr>
              <w:t xml:space="preserve">Allowed transition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Processing</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File persisted and background extraction active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Review or Error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Review Extraction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Recognition/extraction available for operator validation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Review Matches, Re-extract, Remap or Abort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Review Matches</w:t>
            </w:r>
          </w:p>
        </w:tc>
        <w:tc>
          <w:tcPr>
            <w:shd w:fill="FFF2CC" w:val="clear"/>
            <w:tcMar>
              <w:top w:type="dxa" w:w="80"/>
              <w:left w:type="dxa" w:w="100"/>
              <w:bottom w:type="dxa" w:w="80"/>
              <w:right w:type="dxa" w:w="100"/>
            </w:tcMar>
          </w:tcPr>
          <w:p>
            <w:pPr>
              <w:spacing w:after="0"/>
            </w:pPr>
            <w:r>
              <w:rPr>
                <w:b w:val="false"/>
                <w:bCs w:val="false"/>
                <w:color w:val="292929"/>
                <w:sz w:val="17"/>
                <w:szCs w:val="17"/>
              </w:rPr>
              <w:t xml:space="preserve">Identity decisions pending</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Classification &amp; Rate Assignment or back to extraction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Classification &amp; Rate Assignment</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UBS decisions and overrides being prepared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Calculated / Submitted for Review</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Submitted for Review</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Immutable calculation version awaiting independent decision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Accepted or Rejected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Rejected</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Manager rationale recorded; analyst action required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Return to defined prior step</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Accepted / Processed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Manager accepted reviewed version; facility Active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New credit cycle creates a new submission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Error / Aborted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Terminal exception or authorized cancellation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Re-upload / new submission according to operation policy</w:t>
            </w:r>
          </w:p>
        </w:tc>
      </w:tr>
    </w:tbl>
    <w:p>
      <w:pPr>
        <w:spacing w:after="120"/>
      </w:pPr>
    </w:p>
    <w:p>
      <w:pPr>
        <w:spacing w:after="105" w:line="290"/>
      </w:pPr>
      <w:r>
        <w:rPr>
          <w:color w:val="292929"/>
          <w:sz w:val="20"/>
          <w:szCs w:val="20"/>
        </w:rPr>
        <w:t xml:space="preserve">Current code uses wizard step integers and does not yet implement the full Submitted/Accepted/Rejected maker-checker state set. This is a production control gap, not permission to treat UI state as approval.</w:t>
      </w:r>
    </w:p>
    <w:p>
      <w:pPr>
        <w:pStyle w:val="Heading2"/>
        <w:spacing w:after="100" w:before="180"/>
      </w:pPr>
      <w:r>
        <w:rPr>
          <w:color w:val="454545"/>
        </w:rPr>
        <w:t xml:space="preserve">4.3 Concentration controls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Test</w:t>
            </w:r>
          </w:p>
        </w:tc>
        <w:tc>
          <w:tcPr>
            <w:shd w:fill="292929" w:val="clear"/>
            <w:tcMar>
              <w:top w:type="dxa" w:w="80"/>
              <w:left w:type="dxa" w:w="100"/>
              <w:bottom w:type="dxa" w:w="80"/>
              <w:right w:type="dxa" w:w="100"/>
            </w:tcMar>
          </w:tcPr>
          <w:p>
            <w:pPr>
              <w:spacing w:after="0"/>
            </w:pPr>
            <w:r>
              <w:rPr>
                <w:b/>
                <w:bCs/>
                <w:color w:val="FFFFFF"/>
                <w:sz w:val="18"/>
                <w:szCs w:val="18"/>
              </w:rPr>
              <w:t xml:space="preserve">Default basis / threshold</w:t>
            </w:r>
          </w:p>
        </w:tc>
        <w:tc>
          <w:tcPr>
            <w:shd w:fill="292929" w:val="clear"/>
            <w:tcMar>
              <w:top w:type="dxa" w:w="80"/>
              <w:left w:type="dxa" w:w="100"/>
              <w:bottom w:type="dxa" w:w="80"/>
              <w:right w:type="dxa" w:w="100"/>
            </w:tcMar>
          </w:tcPr>
          <w:p>
            <w:pPr>
              <w:spacing w:after="0"/>
            </w:pPr>
            <w:r>
              <w:rPr>
                <w:b/>
                <w:bCs/>
                <w:color w:val="FFFFFF"/>
                <w:sz w:val="18"/>
                <w:szCs w:val="18"/>
              </w:rPr>
              <w:t xml:space="preserve">Result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Single LP</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More than 15% of total UBS BB</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Breach</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Top 10 LPs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More than 60% of total UBS 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Breach</w:t>
            </w:r>
          </w:p>
        </w:tc>
      </w:tr>
      <w:tr>
        <w:trPr>
          <w:cantSplit/>
          <w:tblHeader w:val="false"/>
        </w:trPr>
        <w:tc>
          <w:tcPr>
            <w:shd w:fill="FFF2CC" w:val="clear"/>
            <w:tcMar>
              <w:top w:type="dxa" w:w="80"/>
              <w:left w:type="dxa" w:w="100"/>
              <w:bottom w:type="dxa" w:w="80"/>
              <w:right w:type="dxa" w:w="100"/>
            </w:tcMar>
          </w:tcPr>
          <w:p>
            <w:pPr>
              <w:spacing w:after="0"/>
            </w:pPr>
            <w:r>
              <w:rPr>
                <w:b w:val="false"/>
                <w:bCs w:val="false"/>
                <w:color w:val="292929"/>
                <w:sz w:val="17"/>
                <w:szCs w:val="17"/>
              </w:rPr>
              <w:t xml:space="preserve">Top 10 early warning</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Within 10 percentage points below configured Top-10 maximum</w:t>
            </w:r>
          </w:p>
        </w:tc>
        <w:tc>
          <w:tcPr>
            <w:shd w:fill="FFF2CC" w:val="clear"/>
            <w:tcMar>
              <w:top w:type="dxa" w:w="80"/>
              <w:left w:type="dxa" w:w="100"/>
              <w:bottom w:type="dxa" w:w="80"/>
              <w:right w:type="dxa" w:w="100"/>
            </w:tcMar>
          </w:tcPr>
          <w:p>
            <w:pPr>
              <w:spacing w:after="0"/>
            </w:pPr>
            <w:r>
              <w:rPr>
                <w:b w:val="false"/>
                <w:bCs w:val="false"/>
                <w:color w:val="292929"/>
                <w:sz w:val="17"/>
                <w:szCs w:val="17"/>
              </w:rPr>
              <w:t xml:space="preserve">Warning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Unrated aggregate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More than 50% of total UBS 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Breach</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Non-US LP</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More than 30% of total UBS BB</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Breach</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Pension fund maximum</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Configured/displayed but engine rule not yet implemented</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gap</w:t>
            </w:r>
          </w:p>
        </w:tc>
      </w:tr>
    </w:tbl>
    <w:p>
      <w:pPr>
        <w:spacing w:after="120"/>
      </w:pPr>
    </w:p>
    <w:p>
      <w:pPr>
        <w:spacing w:after="105" w:line="290"/>
      </w:pPr>
      <w:r>
        <w:rPr>
          <w:color w:val="292929"/>
          <w:sz w:val="20"/>
          <w:szCs w:val="20"/>
        </w:rPr>
        <w:t xml:space="preserve">The engine reads conc_limits each run and persists the verdict with the snapshot. Missing rows fall back to seeded defaults so detection does not silently switch off.</w:t>
      </w:r>
    </w:p>
    <w:p>
      <w:r>
        <w:br w:type="page"/>
      </w:r>
    </w:p>
    <w:p>
      <w:pPr>
        <w:pStyle w:val="Heading1"/>
        <w:pBdr>
          <w:bottom w:val="single" w:color="C00000" w:sz="8"/>
        </w:pBdr>
        <w:spacing w:after="100" w:before="260"/>
      </w:pPr>
      <w:r>
        <w:rPr>
          <w:color w:val="292929"/>
        </w:rPr>
        <w:t xml:space="preserve">5. Extraction Contract and Recognition</w:t>
      </w:r>
    </w:p>
    <w:p>
      <w:pPr>
        <w:pStyle w:val="Heading2"/>
        <w:spacing w:after="100" w:before="180"/>
      </w:pPr>
      <w:r>
        <w:rPr>
          <w:color w:val="454545"/>
        </w:rPr>
        <w:t xml:space="preserve">5.1 Asynchronous interaction chart</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Sequence</w:t>
            </w:r>
          </w:p>
        </w:tc>
        <w:tc>
          <w:tcPr>
            <w:shd w:fill="292929" w:val="clear"/>
            <w:tcMar>
              <w:top w:type="dxa" w:w="80"/>
              <w:left w:type="dxa" w:w="100"/>
              <w:bottom w:type="dxa" w:w="80"/>
              <w:right w:type="dxa" w:w="100"/>
            </w:tcMar>
          </w:tcPr>
          <w:p>
            <w:pPr>
              <w:spacing w:after="0"/>
            </w:pPr>
            <w:r>
              <w:rPr>
                <w:b/>
                <w:bCs/>
                <w:color w:val="FFFFFF"/>
                <w:sz w:val="18"/>
                <w:szCs w:val="18"/>
              </w:rPr>
              <w:t xml:space="preserve">Caller</w:t>
            </w:r>
          </w:p>
        </w:tc>
        <w:tc>
          <w:tcPr>
            <w:shd w:fill="292929" w:val="clear"/>
            <w:tcMar>
              <w:top w:type="dxa" w:w="80"/>
              <w:left w:type="dxa" w:w="100"/>
              <w:bottom w:type="dxa" w:w="80"/>
              <w:right w:type="dxa" w:w="100"/>
            </w:tcMar>
          </w:tcPr>
          <w:p>
            <w:pPr>
              <w:spacing w:after="0"/>
            </w:pPr>
            <w:r>
              <w:rPr>
                <w:b/>
                <w:bCs/>
                <w:color w:val="FFFFFF"/>
                <w:sz w:val="18"/>
                <w:szCs w:val="18"/>
              </w:rPr>
              <w:t xml:space="preserve">Endpoint / action</w:t>
            </w:r>
          </w:p>
        </w:tc>
        <w:tc>
          <w:tcPr>
            <w:shd w:fill="292929" w:val="clear"/>
            <w:tcMar>
              <w:top w:type="dxa" w:w="80"/>
              <w:left w:type="dxa" w:w="100"/>
              <w:bottom w:type="dxa" w:w="80"/>
              <w:right w:type="dxa" w:w="100"/>
            </w:tcMar>
          </w:tcPr>
          <w:p>
            <w:pPr>
              <w:spacing w:after="0"/>
            </w:pPr>
            <w:r>
              <w:rPr>
                <w:b/>
                <w:bCs/>
                <w:color w:val="FFFFFF"/>
                <w:sz w:val="18"/>
                <w:szCs w:val="18"/>
              </w:rPr>
              <w:t xml:space="preserve">Response / outcome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1</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UI → API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POST /api/submissions multipart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202 Accepted, status Processing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2</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API → Extraction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POST /api/inspect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WorkbookSignals: sheets + first 15 rows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3</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TemplateRecognitionService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ResolvedTemplate from registry signals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4</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API → Extraction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POST /api/extract?forward=false with resolved hints/config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ExtractionResponse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API</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Ingest, fuzzy match, persist extraction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Submission Review or Error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6</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UI → API</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Poll GET /api/submissions/{id} and receive status events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Navigate when processing completes</w:t>
            </w:r>
          </w:p>
        </w:tc>
      </w:tr>
    </w:tbl>
    <w:p>
      <w:pPr>
        <w:spacing w:after="120"/>
      </w:pPr>
    </w:p>
    <w:p>
      <w:pPr>
        <w:spacing w:after="105" w:line="290"/>
      </w:pPr>
      <w:r>
        <w:rPr>
          <w:color w:val="292929"/>
          <w:sz w:val="20"/>
          <w:szCs w:val="20"/>
        </w:rPr>
        <w:t xml:space="preserve">The bounded extraction executor is sized core 2, max 4, queue 50 with CallerRuns fallback. This caps parallel workbook heap pressure and provides explicit backpressure.</w:t>
      </w:r>
    </w:p>
    <w:p>
      <w:pPr>
        <w:pStyle w:val="Heading2"/>
        <w:spacing w:after="100" w:before="180"/>
      </w:pPr>
      <w:r>
        <w:rPr>
          <w:color w:val="454545"/>
        </w:rPr>
        <w:t xml:space="preserve">5.2 Parser request responsibilities</w:t>
      </w:r>
    </w:p>
    <w:p>
      <w:pPr>
        <w:spacing w:after="105" w:line="290"/>
      </w:pPr>
      <w:r>
        <w:rPr>
          <w:color w:val="292929"/>
          <w:sz w:val="20"/>
          <w:szCs w:val="20"/>
        </w:rPr>
        <w:t xml:space="preserve">/api/inspect performs pure workbook inspection only. /api/extract accepts facility ID, file, alias configuration, sheet/header hints, classification group mappings, selected sheets, auto-discovery setting and skip-row keywords. Agent Bank is a passthrough tag and cannot drive recognition in extraction.</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Derived canonical field</w:t>
            </w:r>
          </w:p>
        </w:tc>
        <w:tc>
          <w:tcPr>
            <w:shd w:fill="292929" w:val="clear"/>
            <w:tcMar>
              <w:top w:type="dxa" w:w="80"/>
              <w:left w:type="dxa" w:w="100"/>
              <w:bottom w:type="dxa" w:w="80"/>
              <w:right w:type="dxa" w:w="100"/>
            </w:tcMar>
          </w:tcPr>
          <w:p>
            <w:pPr>
              <w:spacing w:after="0"/>
            </w:pPr>
            <w:r>
              <w:rPr>
                <w:b/>
                <w:bCs/>
                <w:color w:val="FFFFFF"/>
                <w:sz w:val="18"/>
                <w:szCs w:val="18"/>
              </w:rPr>
              <w:t xml:space="preserve">Formula</w:t>
            </w:r>
          </w:p>
        </w:tc>
        <w:tc>
          <w:tcPr>
            <w:shd w:fill="292929" w:val="clear"/>
            <w:tcMar>
              <w:top w:type="dxa" w:w="80"/>
              <w:left w:type="dxa" w:w="100"/>
              <w:bottom w:type="dxa" w:w="80"/>
              <w:right w:type="dxa" w:w="100"/>
            </w:tcMar>
          </w:tcPr>
          <w:p>
            <w:pPr>
              <w:spacing w:after="0"/>
            </w:pPr>
            <w:r>
              <w:rPr>
                <w:b/>
                <w:bCs/>
                <w:color w:val="FFFFFF"/>
                <w:sz w:val="18"/>
                <w:szCs w:val="18"/>
              </w:rPr>
              <w:t xml:space="preserve">Guardrail</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Called Capital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Commitment − Uncalled Capital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Derive only if no workbook column mapped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 of Capital Commitments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Commitment ÷ sleeve commitment total</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Per sheet/fund sleeve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Concentration %</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Uncalled ÷ sleeve uncalled total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Per sheet/fund sleeve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Excess Concentration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max(0, Uncalled − applicable cap)</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Cap may be percentage/fraction or absolute amount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Excess Concentration %</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Excess ÷ sleeve uncalled total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Derived marker retained</w:t>
            </w:r>
          </w:p>
        </w:tc>
      </w:tr>
    </w:tbl>
    <w:p>
      <w:pPr>
        <w:spacing w:after="120"/>
      </w:pPr>
    </w:p>
    <w:p>
      <w:pPr>
        <w:spacing w:after="105" w:line="290"/>
      </w:pPr>
      <w:r>
        <w:rPr>
          <w:color w:val="292929"/>
          <w:sz w:val="20"/>
          <w:szCs w:val="20"/>
        </w:rPr>
        <w:t xml:space="preserve">Derived values use a Derived: source header and minimum input confidence. They are reconciliation cross-checks and must never be presented as Agent-reported facts. Agent-supplied mapped values are never overwritten or backfilled.</w:t>
      </w:r>
    </w:p>
    <w:p>
      <w:pPr>
        <w:pStyle w:val="Heading2"/>
        <w:spacing w:after="100" w:before="180"/>
      </w:pPr>
      <w:r>
        <w:rPr>
          <w:color w:val="454545"/>
        </w:rPr>
        <w:t xml:space="preserve">5.3 Recognition signal hierarchy</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Priority</w:t>
            </w:r>
          </w:p>
        </w:tc>
        <w:tc>
          <w:tcPr>
            <w:shd w:fill="292929" w:val="clear"/>
            <w:tcMar>
              <w:top w:type="dxa" w:w="80"/>
              <w:left w:type="dxa" w:w="100"/>
              <w:bottom w:type="dxa" w:w="80"/>
              <w:right w:type="dxa" w:w="100"/>
            </w:tcMar>
          </w:tcPr>
          <w:p>
            <w:pPr>
              <w:spacing w:after="0"/>
            </w:pPr>
            <w:r>
              <w:rPr>
                <w:b/>
                <w:bCs/>
                <w:color w:val="FFFFFF"/>
                <w:sz w:val="18"/>
                <w:szCs w:val="18"/>
              </w:rPr>
              <w:t xml:space="preserve">Signal</w:t>
            </w:r>
          </w:p>
        </w:tc>
        <w:tc>
          <w:tcPr>
            <w:shd w:fill="292929" w:val="clear"/>
            <w:tcMar>
              <w:top w:type="dxa" w:w="80"/>
              <w:left w:type="dxa" w:w="100"/>
              <w:bottom w:type="dxa" w:w="80"/>
              <w:right w:type="dxa" w:w="100"/>
            </w:tcMar>
          </w:tcPr>
          <w:p>
            <w:pPr>
              <w:spacing w:after="0"/>
            </w:pPr>
            <w:r>
              <w:rPr>
                <w:b/>
                <w:bCs/>
                <w:color w:val="FFFFFF"/>
                <w:sz w:val="18"/>
                <w:szCs w:val="18"/>
              </w:rPr>
              <w:t xml:space="preserve">Design intent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1</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Explicit forceTemplate / operator choice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Controlled recovery when auto-recognition is ambiguous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2</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Filename slug and distinctive title text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Strong workbook identity</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3</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Template detect keys / structural signatures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Content-based recognition independent of file naming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4</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Named sheet/tab and tab roles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Resolve multi-tab formats and feeder sleeves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Agent Bank metadata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Weak tie-breaker only</w:t>
            </w:r>
          </w:p>
        </w:tc>
      </w:tr>
    </w:tbl>
    <w:p>
      <w:pPr>
        <w:spacing w:after="120"/>
      </w:pPr>
    </w:p>
    <w:p>
      <w:pPr>
        <w:spacing w:after="105" w:line="290"/>
      </w:pPr>
      <w:r>
        <w:rPr>
          <w:color w:val="292929"/>
          <w:sz w:val="20"/>
          <w:szCs w:val="20"/>
        </w:rPr>
        <w:t xml:space="preserve">No code layer may hardcode an Agent Bank or fund name. Named content comes from imported registry templates or operator entry.</w:t>
      </w:r>
    </w:p>
    <w:p>
      <w:pPr>
        <w:pStyle w:val="Heading2"/>
        <w:spacing w:after="100" w:before="180"/>
      </w:pPr>
      <w:r>
        <w:rPr>
          <w:color w:val="454545"/>
        </w:rPr>
        <w:t xml:space="preserve">5.4 Contract quality controls</w:t>
      </w:r>
    </w:p>
    <w:p>
      <w:pPr>
        <w:pStyle w:val="ListParagraph"/>
        <w:numPr>
          <w:ilvl w:val="0"/>
          <w:numId w:val="1"/>
        </w:numPr>
        <w:spacing w:after="55"/>
      </w:pPr>
      <w:r>
        <w:rPr>
          <w:color w:val="292929"/>
          <w:sz w:val="20"/>
          <w:szCs w:val="20"/>
        </w:rPr>
        <w:t xml:space="preserve">Strict TypeScript interfaces; no any at the API boundary.</w:t>
      </w:r>
    </w:p>
    <w:p>
      <w:pPr>
        <w:pStyle w:val="ListParagraph"/>
        <w:numPr>
          <w:ilvl w:val="0"/>
          <w:numId w:val="1"/>
        </w:numPr>
        <w:spacing w:after="55"/>
      </w:pPr>
      <w:r>
        <w:rPr>
          <w:color w:val="292929"/>
          <w:sz w:val="20"/>
          <w:szCs w:val="20"/>
        </w:rPr>
        <w:t xml:space="preserve">Exact numeric values remain numeric through extraction and persistence.</w:t>
      </w:r>
    </w:p>
    <w:p>
      <w:pPr>
        <w:pStyle w:val="ListParagraph"/>
        <w:numPr>
          <w:ilvl w:val="0"/>
          <w:numId w:val="1"/>
        </w:numPr>
        <w:spacing w:after="55"/>
      </w:pPr>
      <w:r>
        <w:rPr>
          <w:color w:val="292929"/>
          <w:sz w:val="20"/>
          <w:szCs w:val="20"/>
        </w:rPr>
        <w:t xml:space="preserve">Template-recognition name/version is resolved by API; parser template version is not authoritative.</w:t>
      </w:r>
    </w:p>
    <w:p>
      <w:pPr>
        <w:pStyle w:val="ListParagraph"/>
        <w:numPr>
          <w:ilvl w:val="0"/>
          <w:numId w:val="1"/>
        </w:numPr>
        <w:spacing w:after="55"/>
      </w:pPr>
      <w:r>
        <w:rPr>
          <w:color w:val="292929"/>
          <w:sz w:val="20"/>
          <w:szCs w:val="20"/>
        </w:rPr>
        <w:t xml:space="preserve">Errors produce a visible Error state and preserve sufficient correlation and audit context.</w:t>
      </w:r>
    </w:p>
    <w:p>
      <w:pPr>
        <w:pStyle w:val="ListParagraph"/>
        <w:numPr>
          <w:ilvl w:val="0"/>
          <w:numId w:val="1"/>
        </w:numPr>
        <w:spacing w:after="55"/>
      </w:pPr>
      <w:r>
        <w:rPr>
          <w:color w:val="292929"/>
          <w:sz w:val="20"/>
          <w:szCs w:val="20"/>
        </w:rPr>
        <w:t xml:space="preserve">The OpenAPI specifications are the machine-readable contract; README examples must remain aligned.</w:t>
      </w:r>
    </w:p>
    <w:p>
      <w:r>
        <w:br w:type="page"/>
      </w:r>
    </w:p>
    <w:p>
      <w:pPr>
        <w:pStyle w:val="Heading1"/>
        <w:pBdr>
          <w:bottom w:val="single" w:color="C00000" w:sz="8"/>
        </w:pBdr>
        <w:spacing w:after="100" w:before="260"/>
      </w:pPr>
      <w:r>
        <w:rPr>
          <w:color w:val="292929"/>
        </w:rPr>
        <w:t xml:space="preserve">6. Borrowing Base Criteria Design</w:t>
      </w:r>
    </w:p>
    <w:p>
      <w:pPr>
        <w:spacing w:after="105" w:line="290"/>
      </w:pPr>
      <w:r>
        <w:rPr>
          <w:color w:val="292929"/>
          <w:sz w:val="20"/>
          <w:szCs w:val="20"/>
        </w:rPr>
        <w:t xml:space="preserve">The bb_criteria_matrix is the primary source for suggested UBS advance rates and per-LP concentration limits. It supersedes the former flat rate schedule for calculation defaults. Manual override remains possible within authorized workflow and is audited.</w:t>
      </w:r>
    </w:p>
    <w:p>
      <w:pPr>
        <w:pStyle w:val="Heading2"/>
        <w:spacing w:after="100" w:before="180"/>
      </w:pPr>
      <w:r>
        <w:rPr>
          <w:color w:val="454545"/>
        </w:rPr>
        <w:t xml:space="preserve">6.1 Decision dimensions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Dimension</w:t>
            </w:r>
          </w:p>
        </w:tc>
        <w:tc>
          <w:tcPr>
            <w:shd w:fill="292929" w:val="clear"/>
            <w:tcMar>
              <w:top w:type="dxa" w:w="80"/>
              <w:left w:type="dxa" w:w="100"/>
              <w:bottom w:type="dxa" w:w="80"/>
              <w:right w:type="dxa" w:w="100"/>
            </w:tcMar>
          </w:tcPr>
          <w:p>
            <w:pPr>
              <w:spacing w:after="0"/>
            </w:pPr>
            <w:r>
              <w:rPr>
                <w:b/>
                <w:bCs/>
                <w:color w:val="FFFFFF"/>
                <w:sz w:val="18"/>
                <w:szCs w:val="18"/>
              </w:rPr>
              <w:t xml:space="preserve">Values</w:t>
            </w:r>
          </w:p>
        </w:tc>
        <w:tc>
          <w:tcPr>
            <w:shd w:fill="292929" w:val="clear"/>
            <w:tcMar>
              <w:top w:type="dxa" w:w="80"/>
              <w:left w:type="dxa" w:w="100"/>
              <w:bottom w:type="dxa" w:w="80"/>
              <w:right w:type="dxa" w:w="100"/>
            </w:tcMar>
          </w:tcPr>
          <w:p>
            <w:pPr>
              <w:spacing w:after="0"/>
            </w:pPr>
            <w:r>
              <w:rPr>
                <w:b/>
                <w:bCs/>
                <w:color w:val="FFFFFF"/>
                <w:sz w:val="18"/>
                <w:szCs w:val="18"/>
              </w:rPr>
              <w:t xml:space="preserve">Effect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UBS LP Classification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Nine canonical categories including Rated, pension/NAV/AUM bands, HNW and Excluded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Selects criteria row</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Funding level</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Below 40% funded / at least 40% funded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Selects early-stage or mature advance rate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Rating band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AAA, AA, A, BBB using tri-agency middle-rating waterfall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Refines Rated Investor rate and concentration cap</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Total uncalled capital</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Facility/sleeve aggregate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Basis for LP concentration cap</w:t>
            </w:r>
          </w:p>
        </w:tc>
      </w:tr>
    </w:tbl>
    <w:p>
      <w:pPr>
        <w:spacing w:after="120"/>
      </w:pPr>
    </w:p>
    <w:p>
      <w:pPr>
        <w:pStyle w:val="Heading2"/>
        <w:spacing w:after="100" w:before="180"/>
      </w:pPr>
      <w:r>
        <w:rPr>
          <w:color w:val="454545"/>
        </w:rPr>
        <w:t xml:space="preserve">6.2 Criteria matrix summary</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UBS classification</w:t>
            </w:r>
          </w:p>
        </w:tc>
        <w:tc>
          <w:tcPr>
            <w:shd w:fill="292929" w:val="clear"/>
            <w:tcMar>
              <w:top w:type="dxa" w:w="80"/>
              <w:left w:type="dxa" w:w="100"/>
              <w:bottom w:type="dxa" w:w="80"/>
              <w:right w:type="dxa" w:w="100"/>
            </w:tcMar>
          </w:tcPr>
          <w:p>
            <w:pPr>
              <w:spacing w:after="0"/>
            </w:pPr>
            <w:r>
              <w:rPr>
                <w:b/>
                <w:bCs/>
                <w:color w:val="FFFFFF"/>
                <w:sz w:val="18"/>
                <w:szCs w:val="18"/>
              </w:rPr>
              <w:t xml:space="preserve">Advance rate ≥40% funded</w:t>
            </w:r>
          </w:p>
        </w:tc>
        <w:tc>
          <w:tcPr>
            <w:shd w:fill="292929" w:val="clear"/>
            <w:tcMar>
              <w:top w:type="dxa" w:w="80"/>
              <w:left w:type="dxa" w:w="100"/>
              <w:bottom w:type="dxa" w:w="80"/>
              <w:right w:type="dxa" w:w="100"/>
            </w:tcMar>
          </w:tcPr>
          <w:p>
            <w:pPr>
              <w:spacing w:after="0"/>
            </w:pPr>
            <w:r>
              <w:rPr>
                <w:b/>
                <w:bCs/>
                <w:color w:val="FFFFFF"/>
                <w:sz w:val="18"/>
                <w:szCs w:val="18"/>
              </w:rPr>
              <w:t xml:space="preserve">Advance rate &lt;40% funded</w:t>
            </w:r>
          </w:p>
        </w:tc>
        <w:tc>
          <w:tcPr>
            <w:shd w:fill="292929" w:val="clear"/>
            <w:tcMar>
              <w:top w:type="dxa" w:w="80"/>
              <w:left w:type="dxa" w:w="100"/>
              <w:bottom w:type="dxa" w:w="80"/>
              <w:right w:type="dxa" w:w="100"/>
            </w:tcMar>
          </w:tcPr>
          <w:p>
            <w:pPr>
              <w:spacing w:after="0"/>
            </w:pPr>
            <w:r>
              <w:rPr>
                <w:b/>
                <w:bCs/>
                <w:color w:val="FFFFFF"/>
                <w:sz w:val="18"/>
                <w:szCs w:val="18"/>
              </w:rPr>
              <w:t xml:space="preserve">Per-LP concentration limit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Rated Investor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90% subject to band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Rating-band specific; BBB 65%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AAA 25%, AA 20%, A 15%, BBB 10%</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Corporate Pension &gt; $5bn Assets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25%</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Corporate Pension &gt; $1bn Assets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20%</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Unrated NAV &gt; $1bn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90%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15%</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Fund of Funds / Other &gt; $10bn AUM</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75%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65%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10%</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Other Institutional</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65%</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50%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5%</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HNW Feeder — acceptable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65%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50%</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5%</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HNW — acceptable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50%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0%</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1%</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Excluded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0%</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0%</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0%</w:t>
            </w:r>
          </w:p>
        </w:tc>
      </w:tr>
    </w:tbl>
    <w:p>
      <w:pPr>
        <w:spacing w:after="120"/>
      </w:pPr>
    </w:p>
    <w:p>
      <w:pPr>
        <w:spacing w:after="105" w:line="290"/>
      </w:pPr>
      <w:r>
        <w:rPr>
          <w:color w:val="292929"/>
          <w:sz w:val="20"/>
          <w:szCs w:val="20"/>
        </w:rPr>
        <w:t xml:space="preserve">The resolver is a server-side single source of truth. The UI displays suggested decisions and their basis but does not independently redefine Lending policy. Stored per-LP overrides win for the reviewed calculation version and must be distinguishable from derived defaults.</w:t>
      </w:r>
    </w:p>
    <w:p>
      <w:pPr>
        <w:spacing w:after="105" w:line="290"/>
      </w:pPr>
      <w:r>
        <w:rPr>
          <w:color w:val="292929"/>
          <w:sz w:val="20"/>
          <w:szCs w:val="20"/>
        </w:rPr>
        <w:t xml:space="preserve">Source provenance for the criteria (for example, the originating Concentration Limits workbook/tab) belongs in controlled design documentation and migration comments. It must not be embedded as a source or attribution property in runtime config JSONB returned to users.</w:t>
      </w:r>
    </w:p>
    <w:p>
      <w:pPr>
        <w:pStyle w:val="Heading2"/>
        <w:spacing w:after="100" w:before="180"/>
      </w:pPr>
      <w:r>
        <w:rPr>
          <w:color w:val="454545"/>
        </w:rPr>
        <w:t xml:space="preserve">6.3 Classification concepts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Field</w:t>
            </w:r>
          </w:p>
        </w:tc>
        <w:tc>
          <w:tcPr>
            <w:shd w:fill="292929" w:val="clear"/>
            <w:tcMar>
              <w:top w:type="dxa" w:w="80"/>
              <w:left w:type="dxa" w:w="100"/>
              <w:bottom w:type="dxa" w:w="80"/>
              <w:right w:type="dxa" w:w="100"/>
            </w:tcMar>
          </w:tcPr>
          <w:p>
            <w:pPr>
              <w:spacing w:after="0"/>
            </w:pPr>
            <w:r>
              <w:rPr>
                <w:b/>
                <w:bCs/>
                <w:color w:val="FFFFFF"/>
                <w:sz w:val="18"/>
                <w:szCs w:val="18"/>
              </w:rPr>
              <w:t xml:space="preserve">Meaning</w:t>
            </w:r>
          </w:p>
        </w:tc>
        <w:tc>
          <w:tcPr>
            <w:shd w:fill="292929" w:val="clear"/>
            <w:tcMar>
              <w:top w:type="dxa" w:w="80"/>
              <w:left w:type="dxa" w:w="100"/>
              <w:bottom w:type="dxa" w:w="80"/>
              <w:right w:type="dxa" w:w="100"/>
            </w:tcMar>
          </w:tcPr>
          <w:p>
            <w:pPr>
              <w:spacing w:after="0"/>
            </w:pPr>
            <w:r>
              <w:rPr>
                <w:b/>
                <w:bCs/>
                <w:color w:val="FFFFFF"/>
                <w:sz w:val="18"/>
                <w:szCs w:val="18"/>
              </w:rPr>
              <w:t xml:space="preserve">Source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Agent LP Classification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Agent Bank’s category, preserved verbatim</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Workbook column or section/group header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UBS LP Classification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UBS Lending criteria category controlling rate/limit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LP Master, criteria derivation and authorized override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Investor Type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Profile such as pension, sovereign, insurance, fund-of-funds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 Master / controlled derivation</w:t>
            </w:r>
          </w:p>
        </w:tc>
      </w:tr>
    </w:tbl>
    <w:p>
      <w:pPr>
        <w:spacing w:after="120"/>
      </w:pPr>
    </w:p>
    <w:p>
      <w:pPr>
        <w:spacing w:after="105" w:line="290"/>
      </w:pPr>
      <w:r>
        <w:rPr>
          <w:color w:val="292929"/>
          <w:sz w:val="20"/>
          <w:szCs w:val="20"/>
        </w:rPr>
        <w:t xml:space="preserve">These fields are not synonyms. Mapping one into another without an explicit rule is a data-quality defect.</w:t>
      </w:r>
    </w:p>
    <w:p>
      <w:r>
        <w:br w:type="page"/>
      </w:r>
    </w:p>
    <w:p>
      <w:pPr>
        <w:pStyle w:val="Heading1"/>
        <w:pBdr>
          <w:bottom w:val="single" w:color="C00000" w:sz="8"/>
        </w:pBdr>
        <w:spacing w:after="100" w:before="260"/>
      </w:pPr>
      <w:r>
        <w:rPr>
          <w:color w:val="292929"/>
        </w:rPr>
        <w:t xml:space="preserve">7. BB Template Registry and Changes</w:t>
      </w:r>
    </w:p>
    <w:p>
      <w:pPr>
        <w:spacing w:after="105" w:line="290"/>
      </w:pPr>
      <w:r>
        <w:rPr>
          <w:color w:val="292929"/>
          <w:sz w:val="20"/>
          <w:szCs w:val="20"/>
        </w:rPr>
        <w:t xml:space="preserve">The template model supports materially different Agent workbooks without parser forks. The registry captures template slug/version, recognition fields, sheet/header structure, aliases, group maps, tab roles, fund sleeves and skip keywords.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Template pattern</w:t>
            </w:r>
          </w:p>
        </w:tc>
        <w:tc>
          <w:tcPr>
            <w:shd w:fill="292929" w:val="clear"/>
            <w:tcMar>
              <w:top w:type="dxa" w:w="80"/>
              <w:left w:type="dxa" w:w="100"/>
              <w:bottom w:type="dxa" w:w="80"/>
              <w:right w:type="dxa" w:w="100"/>
            </w:tcMar>
          </w:tcPr>
          <w:p>
            <w:pPr>
              <w:spacing w:after="0"/>
            </w:pPr>
            <w:r>
              <w:rPr>
                <w:b/>
                <w:bCs/>
                <w:color w:val="FFFFFF"/>
                <w:sz w:val="18"/>
                <w:szCs w:val="18"/>
              </w:rPr>
              <w:t xml:space="preserve">Representative complexity</w:t>
            </w:r>
          </w:p>
        </w:tc>
        <w:tc>
          <w:tcPr>
            <w:shd w:fill="292929" w:val="clear"/>
            <w:tcMar>
              <w:top w:type="dxa" w:w="80"/>
              <w:left w:type="dxa" w:w="100"/>
              <w:bottom w:type="dxa" w:w="80"/>
              <w:right w:type="dxa" w:w="100"/>
            </w:tcMar>
          </w:tcPr>
          <w:p>
            <w:pPr>
              <w:spacing w:after="0"/>
            </w:pPr>
            <w:r>
              <w:rPr>
                <w:b/>
                <w:bCs/>
                <w:color w:val="FFFFFF"/>
                <w:sz w:val="18"/>
                <w:szCs w:val="18"/>
              </w:rPr>
              <w:t xml:space="preserve">Required registry behavior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Single-tab standard schedule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One LP table and recognizable title/header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Select tab and header row/span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Multi-tab fund schedule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Several independent sleeves or tranches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Explicit tab registry; per-tab extraction and totals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Section-classified workbook</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 classification supplied as group header rather than column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Group-header row filtering and fill-down classification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Similar Agent variants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Common Agent branding but different fund layouts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Structural detect keys and title/filename disambiguation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Feeder/sleeve structure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LPs grouped below parent/fund sleeve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Persist sleeve/group context without treating headers as LPs</w:t>
            </w:r>
          </w:p>
        </w:tc>
      </w:tr>
    </w:tbl>
    <w:p>
      <w:pPr>
        <w:spacing w:after="120"/>
      </w:pPr>
    </w:p>
    <w:p>
      <w:pPr>
        <w:spacing w:after="105" w:line="290"/>
      </w:pPr>
      <w:r>
        <w:rPr>
          <w:color w:val="292929"/>
          <w:sz w:val="20"/>
          <w:szCs w:val="20"/>
        </w:rPr>
        <w:t xml:space="preserve">The supported analyzed portfolio includes AEP VII, Audax Fund VII, CCP VII Lev M&amp;M, Carlyle Partners VII, Blue Owl GP Stakes V (GS format), KKR Ascendant and Petershill IV; Wells Fargo Blue Owl remains dependent on sample/registry availability. Import workbooks are upserted by template_slug; temporary and partially copied files are ignored.</w:t>
      </w:r>
    </w:p>
    <w:p>
      <w:pPr>
        <w:pStyle w:val="Heading2"/>
        <w:spacing w:after="100" w:before="180"/>
      </w:pPr>
      <w:r>
        <w:rPr>
          <w:color w:val="454545"/>
        </w:rPr>
        <w:t xml:space="preserve">7.1 Adding a template</w:t>
      </w:r>
    </w:p>
    <w:p>
      <w:pPr>
        <w:pStyle w:val="ListParagraph"/>
        <w:numPr>
          <w:ilvl w:val="0"/>
          <w:numId w:val="2"/>
        </w:numPr>
        <w:spacing w:after="55"/>
      </w:pPr>
      <w:r>
        <w:rPr>
          <w:color w:val="292929"/>
          <w:sz w:val="20"/>
          <w:szCs w:val="20"/>
        </w:rPr>
        <w:t xml:space="preserve">Analyze actual workbook sheets, title rows, headers, group rows, summary rows and data types.</w:t>
      </w:r>
    </w:p>
    <w:p>
      <w:pPr>
        <w:pStyle w:val="ListParagraph"/>
        <w:numPr>
          <w:ilvl w:val="0"/>
          <w:numId w:val="2"/>
        </w:numPr>
        <w:spacing w:after="55"/>
      </w:pPr>
      <w:r>
        <w:rPr>
          <w:color w:val="292929"/>
          <w:sz w:val="20"/>
          <w:szCs w:val="20"/>
        </w:rPr>
        <w:t xml:space="preserve">Create a structured BB-Template-Import-*.xlsx registry workbook.</w:t>
      </w:r>
    </w:p>
    <w:p>
      <w:pPr>
        <w:pStyle w:val="ListParagraph"/>
        <w:numPr>
          <w:ilvl w:val="0"/>
          <w:numId w:val="2"/>
        </w:numPr>
        <w:spacing w:after="55"/>
      </w:pPr>
      <w:r>
        <w:rPr>
          <w:color w:val="292929"/>
          <w:sz w:val="20"/>
          <w:szCs w:val="20"/>
        </w:rPr>
        <w:t xml:space="preserve">Define strong recognition keys and disambiguators; avoid names in Java/TypeScript code.</w:t>
      </w:r>
    </w:p>
    <w:p>
      <w:pPr>
        <w:pStyle w:val="ListParagraph"/>
        <w:numPr>
          <w:ilvl w:val="0"/>
          <w:numId w:val="2"/>
        </w:numPr>
        <w:spacing w:after="55"/>
      </w:pPr>
      <w:r>
        <w:rPr>
          <w:color w:val="292929"/>
          <w:sz w:val="20"/>
          <w:szCs w:val="20"/>
        </w:rPr>
        <w:t xml:space="preserve">Import through POST /api/bb-templates/import?mode=upsert or the jobs watched directory.</w:t>
      </w:r>
    </w:p>
    <w:p>
      <w:pPr>
        <w:pStyle w:val="ListParagraph"/>
        <w:numPr>
          <w:ilvl w:val="0"/>
          <w:numId w:val="2"/>
        </w:numPr>
        <w:spacing w:after="55"/>
      </w:pPr>
      <w:r>
        <w:rPr>
          <w:color w:val="292929"/>
          <w:sz w:val="20"/>
          <w:szCs w:val="20"/>
        </w:rPr>
        <w:t xml:space="preserve">Profile/inspect a representative sample and confirm correct template resolution.</w:t>
      </w:r>
    </w:p>
    <w:p>
      <w:pPr>
        <w:pStyle w:val="ListParagraph"/>
        <w:numPr>
          <w:ilvl w:val="0"/>
          <w:numId w:val="2"/>
        </w:numPr>
        <w:spacing w:after="55"/>
      </w:pPr>
      <w:r>
        <w:rPr>
          <w:color w:val="292929"/>
          <w:sz w:val="20"/>
          <w:szCs w:val="20"/>
        </w:rPr>
        <w:t xml:space="preserve">Verify extraction row count, section classification, numeric precision and skipped totals.</w:t>
      </w:r>
    </w:p>
    <w:p>
      <w:pPr>
        <w:pStyle w:val="ListParagraph"/>
        <w:numPr>
          <w:ilvl w:val="0"/>
          <w:numId w:val="2"/>
        </w:numPr>
        <w:spacing w:after="55"/>
      </w:pPr>
      <w:r>
        <w:rPr>
          <w:color w:val="292929"/>
          <w:sz w:val="20"/>
          <w:szCs w:val="20"/>
        </w:rPr>
        <w:t xml:space="preserve">Add regression fixtures/tests before promoting the template.</w:t>
      </w:r>
    </w:p>
    <w:p>
      <w:r>
        <w:br w:type="page"/>
      </w:r>
    </w:p>
    <w:p>
      <w:pPr>
        <w:pStyle w:val="Heading1"/>
        <w:pBdr>
          <w:bottom w:val="single" w:color="C00000" w:sz="8"/>
        </w:pBdr>
        <w:spacing w:after="100" w:before="260"/>
      </w:pPr>
      <w:r>
        <w:rPr>
          <w:color w:val="292929"/>
        </w:rPr>
        <w:t xml:space="preserve">8. Master Database Mapping</w:t>
      </w:r>
    </w:p>
    <w:p>
      <w:pPr>
        <w:spacing w:after="105" w:line="290"/>
      </w:pPr>
      <w:r>
        <w:rPr>
          <w:color w:val="292929"/>
          <w:sz w:val="20"/>
          <w:szCs w:val="20"/>
        </w:rPr>
        <w:t xml:space="preserve">The LP Master is a bank-wide standardized LP reference store and an upstream input to facility calculations. lp_records represents an LP in a facility context; facility-specific commitment, rank, rates and BB fields must not be mistaken for universal LP attributes.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Field group</w:t>
            </w:r>
          </w:p>
        </w:tc>
        <w:tc>
          <w:tcPr>
            <w:shd w:fill="292929" w:val="clear"/>
            <w:tcMar>
              <w:top w:type="dxa" w:w="80"/>
              <w:left w:type="dxa" w:w="100"/>
              <w:bottom w:type="dxa" w:w="80"/>
              <w:right w:type="dxa" w:w="100"/>
            </w:tcMar>
          </w:tcPr>
          <w:p>
            <w:pPr>
              <w:spacing w:after="0"/>
            </w:pPr>
            <w:r>
              <w:rPr>
                <w:b/>
                <w:bCs/>
                <w:color w:val="FFFFFF"/>
                <w:sz w:val="18"/>
                <w:szCs w:val="18"/>
              </w:rPr>
              <w:t xml:space="preserve">Representative canonical fields</w:t>
            </w:r>
          </w:p>
        </w:tc>
        <w:tc>
          <w:tcPr>
            <w:shd w:fill="292929" w:val="clear"/>
            <w:tcMar>
              <w:top w:type="dxa" w:w="80"/>
              <w:left w:type="dxa" w:w="100"/>
              <w:bottom w:type="dxa" w:w="80"/>
              <w:right w:type="dxa" w:w="100"/>
            </w:tcMar>
          </w:tcPr>
          <w:p>
            <w:pPr>
              <w:spacing w:after="0"/>
            </w:pPr>
            <w:r>
              <w:rPr>
                <w:b/>
                <w:bCs/>
                <w:color w:val="FFFFFF"/>
                <w:sz w:val="18"/>
                <w:szCs w:val="18"/>
              </w:rPr>
              <w:t xml:space="preserve">Persistence notes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Identity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Investor Name, Parent/Sponsor, Fund Sleeve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Name participates in facility-level uniqueness and matching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Classification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Agent category, UBS classification, classification tag, Investor Type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Preserve provenance/semantic distinction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Location/profile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Region, Institutional vs HNW, SPV, Transferee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Supports eligibility and concentration reporting</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Ratings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S&amp;P, Moody’s, Fitch, Investment Grade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Rating normalization feeds band resolver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Financial scale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AUM, NAV, pension assets/funded status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Display strings coexist with controlled parsing/normalization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Commitment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Capital Commitment, Called Capital, % called/commitment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Exact numeric companion used where monetary precision matters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Uncalled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Uncalled Capital, % uncalled, recallable distributions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Facility/sleeve-specific calculation inputs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Borrowing Base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Agent/UBS rate, concentration, excess, Agent/UBS 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Calculation output and reconciliation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Operational</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Included, rank, source sequence, timestamps, notes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source_seq preserves Agent workbook row order</w:t>
            </w:r>
          </w:p>
        </w:tc>
      </w:tr>
    </w:tbl>
    <w:p>
      <w:pPr>
        <w:spacing w:after="120"/>
      </w:pPr>
    </w:p>
    <w:p>
      <w:pPr>
        <w:pStyle w:val="Heading2"/>
        <w:spacing w:after="100" w:before="180"/>
      </w:pPr>
      <w:r>
        <w:rPr>
          <w:color w:val="454545"/>
        </w:rPr>
        <w:t xml:space="preserve">8.1 Exact value policy</w:t>
      </w:r>
    </w:p>
    <w:p>
      <w:pPr>
        <w:spacing w:after="105" w:line="290"/>
      </w:pPr>
      <w:r>
        <w:rPr>
          <w:color w:val="292929"/>
          <w:sz w:val="20"/>
          <w:szCs w:val="20"/>
        </w:rPr>
        <w:t xml:space="preserve">Monetary display strings remain for UI compatibility while numeric companions such as uncalled_capital_num, cap_commit_num, aum_num and agent_bb_num carry exact decimal values. The BB engine reads numeric companions first and parses display strings only as a legacy fallback. Calculations must not round-trip through formatted $12.3M labels.</w:t>
      </w:r>
    </w:p>
    <w:p>
      <w:pPr>
        <w:pStyle w:val="Heading2"/>
        <w:spacing w:after="100" w:before="180"/>
      </w:pPr>
      <w:r>
        <w:rPr>
          <w:color w:val="454545"/>
        </w:rPr>
        <w:t xml:space="preserve">8.2 Key relationships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Parent</w:t>
            </w:r>
          </w:p>
        </w:tc>
        <w:tc>
          <w:tcPr>
            <w:shd w:fill="292929" w:val="clear"/>
            <w:tcMar>
              <w:top w:type="dxa" w:w="80"/>
              <w:left w:type="dxa" w:w="100"/>
              <w:bottom w:type="dxa" w:w="80"/>
              <w:right w:type="dxa" w:w="100"/>
            </w:tcMar>
          </w:tcPr>
          <w:p>
            <w:pPr>
              <w:spacing w:after="0"/>
            </w:pPr>
            <w:r>
              <w:rPr>
                <w:b/>
                <w:bCs/>
                <w:color w:val="FFFFFF"/>
                <w:sz w:val="18"/>
                <w:szCs w:val="18"/>
              </w:rPr>
              <w:t xml:space="preserve">Child / related data</w:t>
            </w:r>
          </w:p>
        </w:tc>
        <w:tc>
          <w:tcPr>
            <w:shd w:fill="292929" w:val="clear"/>
            <w:tcMar>
              <w:top w:type="dxa" w:w="80"/>
              <w:left w:type="dxa" w:w="100"/>
              <w:bottom w:type="dxa" w:w="80"/>
              <w:right w:type="dxa" w:w="100"/>
            </w:tcMar>
          </w:tcPr>
          <w:p>
            <w:pPr>
              <w:spacing w:after="0"/>
            </w:pPr>
            <w:r>
              <w:rPr>
                <w:b/>
                <w:bCs/>
                <w:color w:val="FFFFFF"/>
                <w:sz w:val="18"/>
                <w:szCs w:val="18"/>
              </w:rPr>
              <w:t xml:space="preserve">Cardinality / rule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 records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One facility to many LP records; unique facility + investor name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Facility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Submissions</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One facility to many credit-cycle submissions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Submission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Extraction / match decisions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One extraction plus many queue entries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Facility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BB snapshots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Append-only calculation history; latest is current view</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LP record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Effective rates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Latest rate on or before submission effective date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Template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Tabs and groups</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One registry template to structured extraction controls</w:t>
            </w:r>
          </w:p>
        </w:tc>
      </w:tr>
    </w:tbl>
    <w:p>
      <w:pPr>
        <w:spacing w:after="120"/>
      </w:pPr>
    </w:p>
    <w:p>
      <w:pPr>
        <w:spacing w:after="105" w:line="290"/>
      </w:pPr>
      <w:r>
        <w:rPr>
          <w:color w:val="292929"/>
          <w:sz w:val="20"/>
          <w:szCs w:val="20"/>
        </w:rPr>
        <w:t xml:space="preserve">Local users and user foreign keys in the current schema are legacy gaps. Workflow ownership should store stable external uuName; no local role assignments may be maintained.</w:t>
      </w:r>
    </w:p>
    <w:p>
      <w:pPr>
        <w:spacing w:after="105" w:line="290"/>
      </w:pPr>
      <w:r>
        <w:rPr>
          <w:color w:val="292929"/>
          <w:sz w:val="20"/>
          <w:szCs w:val="20"/>
        </w:rPr>
        <w:t xml:space="preserve">Finalized UBS credit profile values write back to the bank-wide LP Master through one controlled service. The settlement points are Shadow BB run/re-run, submission completion and the audited classification flush. Classification, resolved UBS advance rate and concentration limit must round-trip together; per-keystroke autosave is not a settlement event.</w:t>
      </w:r>
    </w:p>
    <w:p>
      <w:r>
        <w:br w:type="page"/>
      </w:r>
    </w:p>
    <w:p>
      <w:pPr>
        <w:pStyle w:val="Heading1"/>
        <w:pBdr>
          <w:bottom w:val="single" w:color="C00000" w:sz="8"/>
        </w:pBdr>
        <w:spacing w:after="100" w:before="260"/>
      </w:pPr>
      <w:r>
        <w:rPr>
          <w:color w:val="292929"/>
        </w:rPr>
        <w:t xml:space="preserve">9. RBAC and Identity</w:t>
      </w:r>
    </w:p>
    <w:p>
      <w:pPr>
        <w:pStyle w:val="Heading2"/>
        <w:spacing w:after="100" w:before="180"/>
      </w:pPr>
      <w:r>
        <w:rPr>
          <w:color w:val="454545"/>
        </w:rPr>
        <w:t xml:space="preserve">9.1 Target identity architecture</w:t>
      </w:r>
    </w:p>
    <w:p>
      <w:pPr>
        <w:pStyle w:val="ListParagraph"/>
        <w:numPr>
          <w:ilvl w:val="0"/>
          <w:numId w:val="1"/>
        </w:numPr>
        <w:spacing w:after="55"/>
      </w:pPr>
      <w:r>
        <w:rPr>
          <w:color w:val="292929"/>
          <w:sz w:val="20"/>
          <w:szCs w:val="20"/>
        </w:rPr>
        <w:t xml:space="preserve">UI authentication: UBS Intra ID OIDC Authorization Code + PKCE.</w:t>
      </w:r>
    </w:p>
    <w:p>
      <w:pPr>
        <w:pStyle w:val="ListParagraph"/>
        <w:numPr>
          <w:ilvl w:val="0"/>
          <w:numId w:val="1"/>
        </w:numPr>
        <w:spacing w:after="55"/>
      </w:pPr>
      <w:r>
        <w:rPr>
          <w:color w:val="292929"/>
          <w:sz w:val="20"/>
          <w:szCs w:val="20"/>
        </w:rPr>
        <w:t xml:space="preserve">API authentication: Spring Security OAuth2 resource-server validation of access token signature, issuer, audience and lifetime.</w:t>
      </w:r>
    </w:p>
    <w:p>
      <w:pPr>
        <w:pStyle w:val="ListParagraph"/>
        <w:numPr>
          <w:ilvl w:val="0"/>
          <w:numId w:val="1"/>
        </w:numPr>
        <w:spacing w:after="55"/>
      </w:pPr>
      <w:r>
        <w:rPr>
          <w:color w:val="292929"/>
          <w:sz w:val="20"/>
          <w:szCs w:val="20"/>
        </w:rPr>
        <w:t xml:space="preserve">Authorization: allowlisted Entra App Roles APP_ANALYST and APP_MANAGER.</w:t>
      </w:r>
    </w:p>
    <w:p>
      <w:pPr>
        <w:pStyle w:val="ListParagraph"/>
        <w:numPr>
          <w:ilvl w:val="0"/>
          <w:numId w:val="1"/>
        </w:numPr>
        <w:spacing w:after="55"/>
      </w:pPr>
      <w:r>
        <w:rPr>
          <w:color w:val="292929"/>
          <w:sz w:val="20"/>
          <w:szCs w:val="20"/>
        </w:rPr>
        <w:t xml:space="preserve">Governance: AACM Security Principal registration and MAC entitlement mapping, approval, recertification and removal.</w:t>
      </w:r>
    </w:p>
    <w:p>
      <w:pPr>
        <w:pStyle w:val="ListParagraph"/>
        <w:numPr>
          <w:ilvl w:val="0"/>
          <w:numId w:val="1"/>
        </w:numPr>
        <w:spacing w:after="55"/>
      </w:pPr>
      <w:r>
        <w:rPr>
          <w:color w:val="292929"/>
          <w:sz w:val="20"/>
          <w:szCs w:val="20"/>
        </w:rPr>
        <w:t xml:space="preserve">No local user management, user directory or user-role assignments.</w:t>
      </w:r>
    </w:p>
    <w:p>
      <w:pPr>
        <w:pStyle w:val="Heading2"/>
        <w:spacing w:after="100" w:before="180"/>
      </w:pPr>
      <w:r>
        <w:rPr>
          <w:color w:val="454545"/>
        </w:rPr>
        <w:t xml:space="preserve">9.2 Permission summary</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Capability</w:t>
            </w:r>
          </w:p>
        </w:tc>
        <w:tc>
          <w:tcPr>
            <w:shd w:fill="292929" w:val="clear"/>
            <w:tcMar>
              <w:top w:type="dxa" w:w="80"/>
              <w:left w:type="dxa" w:w="100"/>
              <w:bottom w:type="dxa" w:w="80"/>
              <w:right w:type="dxa" w:w="100"/>
            </w:tcMar>
          </w:tcPr>
          <w:p>
            <w:pPr>
              <w:spacing w:after="0"/>
            </w:pPr>
            <w:r>
              <w:rPr>
                <w:b/>
                <w:bCs/>
                <w:color w:val="FFFFFF"/>
                <w:sz w:val="18"/>
                <w:szCs w:val="18"/>
              </w:rPr>
              <w:t xml:space="preserve">Analyst owner</w:t>
            </w:r>
          </w:p>
        </w:tc>
        <w:tc>
          <w:tcPr>
            <w:shd w:fill="292929" w:val="clear"/>
            <w:tcMar>
              <w:top w:type="dxa" w:w="80"/>
              <w:left w:type="dxa" w:w="100"/>
              <w:bottom w:type="dxa" w:w="80"/>
              <w:right w:type="dxa" w:w="100"/>
            </w:tcMar>
          </w:tcPr>
          <w:p>
            <w:pPr>
              <w:spacing w:after="0"/>
            </w:pPr>
            <w:r>
              <w:rPr>
                <w:b/>
                <w:bCs/>
                <w:color w:val="FFFFFF"/>
                <w:sz w:val="18"/>
                <w:szCs w:val="18"/>
              </w:rPr>
              <w:t xml:space="preserve">Analyst other</w:t>
            </w:r>
          </w:p>
        </w:tc>
        <w:tc>
          <w:tcPr>
            <w:shd w:fill="292929" w:val="clear"/>
            <w:tcMar>
              <w:top w:type="dxa" w:w="80"/>
              <w:left w:type="dxa" w:w="100"/>
              <w:bottom w:type="dxa" w:w="80"/>
              <w:right w:type="dxa" w:w="100"/>
            </w:tcMar>
          </w:tcPr>
          <w:p>
            <w:pPr>
              <w:spacing w:after="0"/>
            </w:pPr>
            <w:r>
              <w:rPr>
                <w:b/>
                <w:bCs/>
                <w:color w:val="FFFFFF"/>
                <w:sz w:val="18"/>
                <w:szCs w:val="18"/>
              </w:rPr>
              <w:t xml:space="preserve">Manager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View workflow data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Change extraction/matches/classification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Override with reason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Run Shadow BB</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Submit for review</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Yes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Accept/reject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 never own work</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Reassign owner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Yes with reason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Edit global configuration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Yes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View all audit events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Yes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User/role management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Out of scope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Out of scope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Out of scope</w:t>
            </w:r>
          </w:p>
        </w:tc>
      </w:tr>
    </w:tbl>
    <w:p>
      <w:pPr>
        <w:spacing w:after="120"/>
      </w:pPr>
    </w:p>
    <w:p>
      <w:pPr>
        <w:pStyle w:val="Heading2"/>
        <w:spacing w:after="100" w:before="180"/>
      </w:pPr>
      <w:r>
        <w:rPr>
          <w:color w:val="454545"/>
        </w:rPr>
        <w:t xml:space="preserve">9.3 Four identity planes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Plane</w:t>
            </w:r>
          </w:p>
        </w:tc>
        <w:tc>
          <w:tcPr>
            <w:shd w:fill="292929" w:val="clear"/>
            <w:tcMar>
              <w:top w:type="dxa" w:w="80"/>
              <w:left w:type="dxa" w:w="100"/>
              <w:bottom w:type="dxa" w:w="80"/>
              <w:right w:type="dxa" w:w="100"/>
            </w:tcMar>
          </w:tcPr>
          <w:p>
            <w:pPr>
              <w:spacing w:after="0"/>
            </w:pPr>
            <w:r>
              <w:rPr>
                <w:b/>
                <w:bCs/>
                <w:color w:val="FFFFFF"/>
                <w:sz w:val="18"/>
                <w:szCs w:val="18"/>
              </w:rPr>
              <w:t xml:space="preserve">Question</w:t>
            </w:r>
          </w:p>
        </w:tc>
        <w:tc>
          <w:tcPr>
            <w:shd w:fill="292929" w:val="clear"/>
            <w:tcMar>
              <w:top w:type="dxa" w:w="80"/>
              <w:left w:type="dxa" w:w="100"/>
              <w:bottom w:type="dxa" w:w="80"/>
              <w:right w:type="dxa" w:w="100"/>
            </w:tcMar>
          </w:tcPr>
          <w:p>
            <w:pPr>
              <w:spacing w:after="0"/>
            </w:pPr>
            <w:r>
              <w:rPr>
                <w:b/>
                <w:bCs/>
                <w:color w:val="FFFFFF"/>
                <w:sz w:val="18"/>
                <w:szCs w:val="18"/>
              </w:rPr>
              <w:t xml:space="preserve">Required representation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Authentication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Who is the user?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Immutable subject, stable uuName, first/last/display names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Authorization</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What may they do?</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Validated App Roles + ownership + workflow state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Audit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Who performed a material action?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Subject/uuName, readable name, action, target, before/after, result, reason, UTC time, correlation ID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Operational tracing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Who generated a log?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Correlation ID plus user/workload identity in MDC/OpenTelemetry; no tokens or full claims</w:t>
            </w:r>
          </w:p>
        </w:tc>
      </w:tr>
    </w:tbl>
    <w:p>
      <w:pPr>
        <w:spacing w:after="120"/>
      </w:pPr>
    </w:p>
    <w:p>
      <w:pPr>
        <w:spacing w:after="105" w:line="290"/>
      </w:pPr>
      <w:r>
        <w:rPr>
          <w:color w:val="292929"/>
          <w:sz w:val="20"/>
          <w:szCs w:val="20"/>
        </w:rPr>
        <w:t xml:space="preserve">Current trusted-header/dev authentication and broad .authenticated() API rules do not satisfy the target. Ownership enforcement, audit scoping, reassignment and maker-checker states must be completed before production.</w:t>
      </w:r>
    </w:p>
    <w:p>
      <w:r>
        <w:br w:type="page"/>
      </w:r>
    </w:p>
    <w:p>
      <w:pPr>
        <w:pStyle w:val="Heading1"/>
        <w:pBdr>
          <w:bottom w:val="single" w:color="C00000" w:sz="8"/>
        </w:pBdr>
        <w:spacing w:after="100" w:before="260"/>
      </w:pPr>
      <w:r>
        <w:rPr>
          <w:color w:val="292929"/>
        </w:rPr>
        <w:t xml:space="preserve">10. UI Architecture and Conventions</w:t>
      </w:r>
    </w:p>
    <w:p>
      <w:pPr>
        <w:spacing w:after="105" w:line="290"/>
      </w:pPr>
      <w:r>
        <w:rPr>
          <w:color w:val="292929"/>
          <w:sz w:val="20"/>
          <w:szCs w:val="20"/>
        </w:rPr>
        <w:t xml:space="preserve">The production UI uses the archived pe-sub-platform prototype as the visual reference only. Business logic is re-derived from requirements and API contracts. The UI must not reconstruct authoritative BB results or fabricate fallback data in production.</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Convention</w:t>
            </w:r>
          </w:p>
        </w:tc>
        <w:tc>
          <w:tcPr>
            <w:shd w:fill="292929" w:val="clear"/>
            <w:tcMar>
              <w:top w:type="dxa" w:w="80"/>
              <w:left w:type="dxa" w:w="100"/>
              <w:bottom w:type="dxa" w:w="80"/>
              <w:right w:type="dxa" w:w="100"/>
            </w:tcMar>
          </w:tcPr>
          <w:p>
            <w:pPr>
              <w:spacing w:after="0"/>
            </w:pPr>
            <w:r>
              <w:rPr>
                <w:b/>
                <w:bCs/>
                <w:color w:val="FFFFFF"/>
                <w:sz w:val="18"/>
                <w:szCs w:val="18"/>
              </w:rPr>
              <w:t xml:space="preserve">Meaning</w:t>
            </w:r>
          </w:p>
        </w:tc>
      </w:tr>
      <w:tr>
        <w:trPr>
          <w:cantSplit/>
          <w:tblHeader w:val="false"/>
        </w:trPr>
        <w:tc>
          <w:tcPr>
            <w:shd w:fill="FCE8E6" w:val="clear"/>
            <w:tcMar>
              <w:top w:type="dxa" w:w="80"/>
              <w:left w:type="dxa" w:w="100"/>
              <w:bottom w:type="dxa" w:w="80"/>
              <w:right w:type="dxa" w:w="100"/>
            </w:tcMar>
          </w:tcPr>
          <w:p>
            <w:pPr>
              <w:spacing w:after="0"/>
            </w:pPr>
            <w:r>
              <w:rPr>
                <w:b w:val="false"/>
                <w:bCs w:val="false"/>
                <w:color w:val="C00000"/>
                <w:sz w:val="17"/>
                <w:szCs w:val="17"/>
              </w:rPr>
              <w:t xml:space="preserve">Red alert / row</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Breach, destructive action, error or access denial requiring action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Amber alert / row</w:t>
            </w:r>
          </w:p>
        </w:tc>
        <w:tc>
          <w:tcPr>
            <w:shd w:fill="FFF2CC" w:val="clear"/>
            <w:tcMar>
              <w:top w:type="dxa" w:w="80"/>
              <w:left w:type="dxa" w:w="100"/>
              <w:bottom w:type="dxa" w:w="80"/>
              <w:right w:type="dxa" w:w="100"/>
            </w:tcMar>
          </w:tcPr>
          <w:p>
            <w:pPr>
              <w:spacing w:after="0"/>
            </w:pPr>
            <w:r>
              <w:rPr>
                <w:b w:val="false"/>
                <w:bCs w:val="false"/>
                <w:color w:val="292929"/>
                <w:sz w:val="17"/>
                <w:szCs w:val="17"/>
              </w:rPr>
              <w:t xml:space="preserve">Warning, pending review, derived/overridden value requiring attention</w:t>
            </w:r>
          </w:p>
        </w:tc>
      </w:tr>
      <w:tr>
        <w:trPr>
          <w:cantSplit/>
          <w:tblHeader w:val="false"/>
        </w:trPr>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tag / banner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Successful, accepted, active or included state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Gray surface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Neutral structure, read-only/reference content and table alternation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Badge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Compact status/provenance such as Derived, Calc, Core, Bank or User</w:t>
            </w:r>
          </w:p>
        </w:tc>
      </w:tr>
    </w:tbl>
    <w:p>
      <w:pPr>
        <w:spacing w:after="120"/>
      </w:pPr>
    </w:p>
    <w:p>
      <w:pPr>
        <w:spacing w:after="105" w:line="290"/>
      </w:pPr>
      <w:r>
        <w:rPr>
          <w:color w:val="292929"/>
          <w:sz w:val="20"/>
          <w:szCs w:val="20"/>
        </w:rPr>
        <w:t xml:space="preserve">Inline expand-to-edit is preferred for small dictionary/configuration edits. Only one inline edit/add state opens at a time; Enter/Save commits and cancel restores. Tooltips are acceptable for secondary provenance. Core aliases are read-only; Bank/User tiers expose controlled editing.</w:t>
      </w:r>
    </w:p>
    <w:p>
      <w:pPr>
        <w:pStyle w:val="Heading2"/>
        <w:spacing w:after="100" w:before="180"/>
      </w:pPr>
      <w:r>
        <w:rPr>
          <w:color w:val="454545"/>
        </w:rPr>
        <w:t xml:space="preserve">10.1 UI implementation notes</w:t>
      </w:r>
    </w:p>
    <w:p>
      <w:pPr>
        <w:pStyle w:val="ListParagraph"/>
        <w:numPr>
          <w:ilvl w:val="0"/>
          <w:numId w:val="1"/>
        </w:numPr>
        <w:spacing w:after="55"/>
      </w:pPr>
      <w:r>
        <w:rPr>
          <w:color w:val="292929"/>
          <w:sz w:val="20"/>
          <w:szCs w:val="20"/>
        </w:rPr>
        <w:t xml:space="preserve">Same-origin /api works under Vite locally and nginx/Ingress in cluster.</w:t>
      </w:r>
    </w:p>
    <w:p>
      <w:pPr>
        <w:pStyle w:val="ListParagraph"/>
        <w:numPr>
          <w:ilvl w:val="0"/>
          <w:numId w:val="1"/>
        </w:numPr>
        <w:spacing w:after="55"/>
      </w:pPr>
      <w:r>
        <w:rPr>
          <w:color w:val="292929"/>
          <w:sz w:val="20"/>
          <w:szCs w:val="20"/>
        </w:rPr>
        <w:t xml:space="preserve">Production container uses unprivileged nginx on port 8080.</w:t>
      </w:r>
    </w:p>
    <w:p>
      <w:pPr>
        <w:pStyle w:val="ListParagraph"/>
        <w:numPr>
          <w:ilvl w:val="0"/>
          <w:numId w:val="1"/>
        </w:numPr>
        <w:spacing w:after="55"/>
      </w:pPr>
      <w:r>
        <w:rPr>
          <w:color w:val="292929"/>
          <w:sz w:val="20"/>
          <w:szCs w:val="20"/>
        </w:rPr>
        <w:t xml:space="preserve">A Redux Toolkit configuration cache (configStore) now coexists with service-level configuration access. Both paths must load classification through the same service normalization so live LP Master Investor Type options remain merged consistently; do not duplicate derivation in the store.</w:t>
      </w:r>
    </w:p>
    <w:p>
      <w:pPr>
        <w:pStyle w:val="ListParagraph"/>
        <w:numPr>
          <w:ilvl w:val="0"/>
          <w:numId w:val="1"/>
        </w:numPr>
        <w:spacing w:after="55"/>
      </w:pPr>
      <w:r>
        <w:rPr>
          <w:color w:val="292929"/>
          <w:sz w:val="20"/>
          <w:szCs w:val="20"/>
        </w:rPr>
        <w:t xml:space="preserve">Screens read persisted API data; report tabs do not recompute BB domain outcomes.</w:t>
      </w:r>
    </w:p>
    <w:p>
      <w:pPr>
        <w:pStyle w:val="ListParagraph"/>
        <w:numPr>
          <w:ilvl w:val="0"/>
          <w:numId w:val="1"/>
        </w:numPr>
        <w:spacing w:after="55"/>
      </w:pPr>
      <w:r>
        <w:rPr>
          <w:color w:val="292929"/>
          <w:sz w:val="20"/>
          <w:szCs w:val="20"/>
        </w:rPr>
        <w:t xml:space="preserve">Dashboard executive figures come from the latest snapshot, not facility display rows.</w:t>
      </w:r>
    </w:p>
    <w:p>
      <w:pPr>
        <w:pStyle w:val="ListParagraph"/>
        <w:numPr>
          <w:ilvl w:val="0"/>
          <w:numId w:val="1"/>
        </w:numPr>
        <w:spacing w:after="55"/>
      </w:pPr>
      <w:r>
        <w:rPr>
          <w:color w:val="292929"/>
          <w:sz w:val="20"/>
          <w:szCs w:val="20"/>
        </w:rPr>
        <w:t xml:space="preserve">While local overrides are unsaved, persisted breach panels are hidden because they no longer correspond to the visible preview.</w:t>
      </w:r>
    </w:p>
    <w:p>
      <w:pPr>
        <w:pStyle w:val="ListParagraph"/>
        <w:numPr>
          <w:ilvl w:val="0"/>
          <w:numId w:val="1"/>
        </w:numPr>
        <w:spacing w:after="55"/>
      </w:pPr>
      <w:r>
        <w:rPr>
          <w:color w:val="292929"/>
          <w:sz w:val="20"/>
          <w:szCs w:val="20"/>
        </w:rPr>
        <w:t xml:space="preserve">Fixed DEFAULT_USER, fabricated mock/prototype fallback behavior and display-name ownership comparisons must not operate in production. The archived prototype controls visual presentation only, never domain logic or runtime data.</w:t>
      </w:r>
    </w:p>
    <w:p>
      <w:pPr>
        <w:pStyle w:val="ListParagraph"/>
        <w:numPr>
          <w:ilvl w:val="0"/>
          <w:numId w:val="1"/>
        </w:numPr>
        <w:spacing w:after="55"/>
      </w:pPr>
      <w:r>
        <w:rPr>
          <w:color w:val="292929"/>
          <w:sz w:val="20"/>
          <w:szCs w:val="20"/>
        </w:rPr>
        <w:t xml:space="preserve">401 initiates approved session recovery; 403 renders access denied.</w:t>
      </w:r>
    </w:p>
    <w:p>
      <w:r>
        <w:br w:type="page"/>
      </w:r>
    </w:p>
    <w:p>
      <w:pPr>
        <w:pStyle w:val="Heading1"/>
        <w:pBdr>
          <w:bottom w:val="single" w:color="C00000" w:sz="8"/>
        </w:pBdr>
        <w:spacing w:after="100" w:before="260"/>
      </w:pPr>
      <w:r>
        <w:rPr>
          <w:color w:val="292929"/>
        </w:rPr>
        <w:t xml:space="preserve">11. Reporting and Audit</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Report</w:t>
            </w:r>
          </w:p>
        </w:tc>
        <w:tc>
          <w:tcPr>
            <w:shd w:fill="292929" w:val="clear"/>
            <w:tcMar>
              <w:top w:type="dxa" w:w="80"/>
              <w:left w:type="dxa" w:w="100"/>
              <w:bottom w:type="dxa" w:w="80"/>
              <w:right w:type="dxa" w:w="100"/>
            </w:tcMar>
          </w:tcPr>
          <w:p>
            <w:pPr>
              <w:spacing w:after="0"/>
            </w:pPr>
            <w:r>
              <w:rPr>
                <w:b/>
                <w:bCs/>
                <w:color w:val="FFFFFF"/>
                <w:sz w:val="18"/>
                <w:szCs w:val="18"/>
              </w:rPr>
              <w:t xml:space="preserve">Data source / purpose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Collateral &amp; Coverage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Selected persisted snapshot, category summary and optional LP detail</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Effective Advance Rates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One point per persisted Shadow BB snapshot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Agent Bank Exposure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UBS vs Agent BB across latest facility snapshots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Concentration Exposures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Persisted breach verdict by facility/test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Ad Hoc</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Filtered LP-level export</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Scheduled Reports</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Read-only configured schedule; execution automation remains jobs scope</w:t>
            </w:r>
          </w:p>
        </w:tc>
      </w:tr>
    </w:tbl>
    <w:p>
      <w:pPr>
        <w:spacing w:after="120"/>
      </w:pPr>
    </w:p>
    <w:p>
      <w:pPr>
        <w:spacing w:after="105" w:line="290"/>
      </w:pPr>
      <w:r>
        <w:rPr>
          <w:color w:val="292929"/>
          <w:sz w:val="20"/>
          <w:szCs w:val="20"/>
        </w:rPr>
        <w:t xml:space="preserve">Successful report generation is written to report history. Audit events must be append-only and attributable to stable identity, not only mutable display name. Material configuration changes, overrides, reassignment, workflow decisions, exports and failures require audit coverage.</w:t>
      </w:r>
    </w:p>
    <w:p>
      <w:r>
        <w:br w:type="page"/>
      </w:r>
    </w:p>
    <w:p>
      <w:pPr>
        <w:pStyle w:val="Heading1"/>
        <w:pBdr>
          <w:bottom w:val="single" w:color="C00000" w:sz="8"/>
        </w:pBdr>
        <w:spacing w:after="100" w:before="260"/>
      </w:pPr>
      <w:r>
        <w:rPr>
          <w:color w:val="292929"/>
        </w:rPr>
        <w:t xml:space="preserve">12. Jobs and Reference Data Operations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Job / feed</w:t>
            </w:r>
          </w:p>
        </w:tc>
        <w:tc>
          <w:tcPr>
            <w:shd w:fill="292929" w:val="clear"/>
            <w:tcMar>
              <w:top w:type="dxa" w:w="80"/>
              <w:left w:type="dxa" w:w="100"/>
              <w:bottom w:type="dxa" w:w="80"/>
              <w:right w:type="dxa" w:w="100"/>
            </w:tcMar>
          </w:tcPr>
          <w:p>
            <w:pPr>
              <w:spacing w:after="0"/>
            </w:pPr>
            <w:r>
              <w:rPr>
                <w:b/>
                <w:bCs/>
                <w:color w:val="FFFFFF"/>
                <w:sz w:val="18"/>
                <w:szCs w:val="18"/>
              </w:rPr>
              <w:t xml:space="preserve">Input</w:t>
            </w:r>
          </w:p>
        </w:tc>
        <w:tc>
          <w:tcPr>
            <w:shd w:fill="292929" w:val="clear"/>
            <w:tcMar>
              <w:top w:type="dxa" w:w="80"/>
              <w:left w:type="dxa" w:w="100"/>
              <w:bottom w:type="dxa" w:w="80"/>
              <w:right w:type="dxa" w:w="100"/>
            </w:tcMar>
          </w:tcPr>
          <w:p>
            <w:pPr>
              <w:spacing w:after="0"/>
            </w:pPr>
            <w:r>
              <w:rPr>
                <w:b/>
                <w:bCs/>
                <w:color w:val="FFFFFF"/>
                <w:sz w:val="18"/>
                <w:szCs w:val="18"/>
              </w:rPr>
              <w:t xml:space="preserve">Behavior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facility-ingest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Facility CSV</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Parse typed dates/amounts and upsert facilities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lp-master-ingest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LP Master CSV</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Normalize booleans/ratings and upsert reference LPs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lp-records-seed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LP-to-facility seed CSV</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Resolve foreign keys and upsert facility LP records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cls-conc-limits-ingest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Classification concentration reference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Feed controlled defaults and reload API config cache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BB template import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Watched data/bb-templates directory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Stable-age scan and idempotent API upsert by template slug</w:t>
            </w:r>
          </w:p>
        </w:tc>
      </w:tr>
    </w:tbl>
    <w:p>
      <w:pPr>
        <w:spacing w:after="120"/>
      </w:pPr>
    </w:p>
    <w:p>
      <w:pPr>
        <w:spacing w:after="105" w:line="290"/>
      </w:pPr>
      <w:r>
        <w:rPr>
          <w:color w:val="292929"/>
          <w:sz w:val="20"/>
          <w:szCs w:val="20"/>
        </w:rPr>
        <w:t xml:space="preserve">Startup ingestion can be disabled. Jobs wait for the API-owned schema, and Spring Batch metadata shares the database. Tests use Zonky embedded PostgreSQL rather than H2 or Testcontainers so JSONB, constraints and UPSERT behavior match PostgreSQL.</w:t>
      </w:r>
    </w:p>
    <w:p>
      <w:pPr>
        <w:spacing w:after="105" w:line="290"/>
      </w:pPr>
      <w:r>
        <w:rPr>
          <w:color w:val="292929"/>
          <w:sz w:val="20"/>
          <w:szCs w:val="20"/>
        </w:rPr>
        <w:t xml:space="preserve">Operationally, template files beginning ~$ or ending in temporary/partial forms are ignored. Copy with .partial/.tmp, then rename to .xlsx once stable.</w:t>
      </w:r>
    </w:p>
    <w:p>
      <w:r>
        <w:br w:type="page"/>
      </w:r>
    </w:p>
    <w:p>
      <w:pPr>
        <w:pStyle w:val="Heading1"/>
        <w:pBdr>
          <w:bottom w:val="single" w:color="C00000" w:sz="8"/>
        </w:pBdr>
        <w:spacing w:after="100" w:before="260"/>
      </w:pPr>
      <w:r>
        <w:rPr>
          <w:color w:val="292929"/>
        </w:rPr>
        <w:t xml:space="preserve">13. Infrastructure and Deployment</w:t>
      </w:r>
    </w:p>
    <w:p>
      <w:pPr>
        <w:pStyle w:val="Heading2"/>
        <w:spacing w:after="100" w:before="180"/>
      </w:pPr>
      <w:r>
        <w:rPr>
          <w:color w:val="454545"/>
        </w:rPr>
        <w:t xml:space="preserve">13.1 Kustomize environments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Environment</w:t>
            </w:r>
          </w:p>
        </w:tc>
        <w:tc>
          <w:tcPr>
            <w:shd w:fill="292929" w:val="clear"/>
            <w:tcMar>
              <w:top w:type="dxa" w:w="80"/>
              <w:left w:type="dxa" w:w="100"/>
              <w:bottom w:type="dxa" w:w="80"/>
              <w:right w:type="dxa" w:w="100"/>
            </w:tcMar>
          </w:tcPr>
          <w:p>
            <w:pPr>
              <w:spacing w:after="0"/>
            </w:pPr>
            <w:r>
              <w:rPr>
                <w:b/>
                <w:bCs/>
                <w:color w:val="FFFFFF"/>
                <w:sz w:val="18"/>
                <w:szCs w:val="18"/>
              </w:rPr>
              <w:t xml:space="preserve">Database</w:t>
            </w:r>
          </w:p>
        </w:tc>
        <w:tc>
          <w:tcPr>
            <w:shd w:fill="292929" w:val="clear"/>
            <w:tcMar>
              <w:top w:type="dxa" w:w="80"/>
              <w:left w:type="dxa" w:w="100"/>
              <w:bottom w:type="dxa" w:w="80"/>
              <w:right w:type="dxa" w:w="100"/>
            </w:tcMar>
          </w:tcPr>
          <w:p>
            <w:pPr>
              <w:spacing w:after="0"/>
            </w:pPr>
            <w:r>
              <w:rPr>
                <w:b/>
                <w:bCs/>
                <w:color w:val="FFFFFF"/>
                <w:sz w:val="18"/>
                <w:szCs w:val="18"/>
              </w:rPr>
              <w:t xml:space="preserve">Secrets</w:t>
            </w:r>
          </w:p>
        </w:tc>
        <w:tc>
          <w:tcPr>
            <w:shd w:fill="292929" w:val="clear"/>
            <w:tcMar>
              <w:top w:type="dxa" w:w="80"/>
              <w:left w:type="dxa" w:w="100"/>
              <w:bottom w:type="dxa" w:w="80"/>
              <w:right w:type="dxa" w:w="100"/>
            </w:tcMar>
          </w:tcPr>
          <w:p>
            <w:pPr>
              <w:spacing w:after="0"/>
            </w:pPr>
            <w:r>
              <w:rPr>
                <w:b/>
                <w:bCs/>
                <w:color w:val="FFFFFF"/>
                <w:sz w:val="18"/>
                <w:szCs w:val="18"/>
              </w:rPr>
              <w:t xml:space="preserve">Exposure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Local overlay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In-cluster PostgreSQL 16 PVC</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Plain development Secret</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NodePorts for UI/API/PostgreSQL</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AKS overlay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Azure PostgreSQL Flexible Server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Key Vault via Secrets Store CSI</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Same-origin TLS Ingress; API/UI externally routed, extraction/jobs internal</w:t>
            </w:r>
          </w:p>
        </w:tc>
      </w:tr>
    </w:tbl>
    <w:p>
      <w:pPr>
        <w:spacing w:after="120"/>
      </w:pPr>
    </w:p>
    <w:p>
      <w:pPr>
        <w:spacing w:after="105" w:line="290"/>
      </w:pPr>
      <w:r>
        <w:rPr>
          <w:color w:val="292929"/>
          <w:sz w:val="20"/>
          <w:szCs w:val="20"/>
        </w:rPr>
        <w:t xml:space="preserve">AKS is the confirmed compute target because the UBS catalog offers Functions, AKS and Web Apps; AKS fits the multi-service topology. Images must be pinned to controlled ACR tags, never latest in production.</w:t>
      </w:r>
    </w:p>
    <w:p>
      <w:pPr>
        <w:pStyle w:val="Heading2"/>
        <w:spacing w:after="100" w:before="180"/>
      </w:pPr>
      <w:r>
        <w:rPr>
          <w:color w:val="454545"/>
        </w:rPr>
        <w:t xml:space="preserve">13.2 Deployment chart</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Internet / UBS network edge</w:t>
            </w:r>
          </w:p>
        </w:tc>
        <w:tc>
          <w:tcPr>
            <w:shd w:fill="292929" w:val="clear"/>
            <w:tcMar>
              <w:top w:type="dxa" w:w="80"/>
              <w:left w:type="dxa" w:w="100"/>
              <w:bottom w:type="dxa" w:w="80"/>
              <w:right w:type="dxa" w:w="100"/>
            </w:tcMar>
          </w:tcPr>
          <w:p>
            <w:pPr>
              <w:spacing w:after="0"/>
            </w:pPr>
            <w:r>
              <w:rPr>
                <w:b/>
                <w:bCs/>
                <w:color w:val="FFFFFF"/>
                <w:sz w:val="18"/>
                <w:szCs w:val="18"/>
              </w:rPr>
              <w:t xml:space="preserve">AKS ingress</w:t>
            </w:r>
          </w:p>
        </w:tc>
        <w:tc>
          <w:tcPr>
            <w:shd w:fill="292929" w:val="clear"/>
            <w:tcMar>
              <w:top w:type="dxa" w:w="80"/>
              <w:left w:type="dxa" w:w="100"/>
              <w:bottom w:type="dxa" w:w="80"/>
              <w:right w:type="dxa" w:w="100"/>
            </w:tcMar>
          </w:tcPr>
          <w:p>
            <w:pPr>
              <w:spacing w:after="0"/>
            </w:pPr>
            <w:r>
              <w:rPr>
                <w:b/>
                <w:bCs/>
                <w:color w:val="FFFFFF"/>
                <w:sz w:val="18"/>
                <w:szCs w:val="18"/>
              </w:rPr>
              <w:t xml:space="preserve">Workloads</w:t>
            </w:r>
          </w:p>
        </w:tc>
        <w:tc>
          <w:tcPr>
            <w:shd w:fill="292929" w:val="clear"/>
            <w:tcMar>
              <w:top w:type="dxa" w:w="80"/>
              <w:left w:type="dxa" w:w="100"/>
              <w:bottom w:type="dxa" w:w="80"/>
              <w:right w:type="dxa" w:w="100"/>
            </w:tcMar>
          </w:tcPr>
          <w:p>
            <w:pPr>
              <w:spacing w:after="0"/>
            </w:pPr>
            <w:r>
              <w:rPr>
                <w:b/>
                <w:bCs/>
                <w:color w:val="FFFFFF"/>
                <w:sz w:val="18"/>
                <w:szCs w:val="18"/>
              </w:rPr>
              <w:t xml:space="preserve">Managed dependencies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Intra ID authenticated browser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 → UI; /api → API</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UI, API (1 replica pending shared upload), extraction, jobs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ACR, Key Vault, PostgreSQL Flexible Server, Azure Monitor</w:t>
            </w:r>
          </w:p>
        </w:tc>
      </w:tr>
    </w:tbl>
    <w:p>
      <w:pPr>
        <w:spacing w:after="120"/>
      </w:pPr>
    </w:p>
    <w:p>
      <w:pPr>
        <w:pStyle w:val="Heading2"/>
        <w:spacing w:after="100" w:before="180"/>
      </w:pPr>
      <w:r>
        <w:rPr>
          <w:color w:val="454545"/>
        </w:rPr>
        <w:t xml:space="preserve">13.3 Production readiness gaps</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Gap</w:t>
            </w:r>
          </w:p>
        </w:tc>
        <w:tc>
          <w:tcPr>
            <w:shd w:fill="292929" w:val="clear"/>
            <w:tcMar>
              <w:top w:type="dxa" w:w="80"/>
              <w:left w:type="dxa" w:w="100"/>
              <w:bottom w:type="dxa" w:w="80"/>
              <w:right w:type="dxa" w:w="100"/>
            </w:tcMar>
          </w:tcPr>
          <w:p>
            <w:pPr>
              <w:spacing w:after="0"/>
            </w:pPr>
            <w:r>
              <w:rPr>
                <w:b/>
                <w:bCs/>
                <w:color w:val="FFFFFF"/>
                <w:sz w:val="18"/>
                <w:szCs w:val="18"/>
              </w:rPr>
              <w:t xml:space="preserve">Risk</w:t>
            </w:r>
          </w:p>
        </w:tc>
        <w:tc>
          <w:tcPr>
            <w:shd w:fill="292929" w:val="clear"/>
            <w:tcMar>
              <w:top w:type="dxa" w:w="80"/>
              <w:left w:type="dxa" w:w="100"/>
              <w:bottom w:type="dxa" w:w="80"/>
              <w:right w:type="dxa" w:w="100"/>
            </w:tcMar>
          </w:tcPr>
          <w:p>
            <w:pPr>
              <w:spacing w:after="0"/>
            </w:pPr>
            <w:r>
              <w:rPr>
                <w:b/>
                <w:bCs/>
                <w:color w:val="FFFFFF"/>
                <w:sz w:val="18"/>
                <w:szCs w:val="18"/>
              </w:rPr>
              <w:t xml:space="preserve">Required treatment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Pod-local API uploads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Restart loss and no horizontal API scale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Azure Files PVC or Blob/object storage; then scale API</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Root backend containers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Excess container privilege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Non-root image user and runAsNonRoot security context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Inconsistent health endpoints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Weak orchestration signals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Actuator liveness/readiness across all Spring services</w:t>
            </w:r>
          </w:p>
        </w:tc>
      </w:tr>
      <w:tr>
        <w:trPr>
          <w:cantSplit/>
          <w:tblHeader w:val="false"/>
        </w:trPr>
        <w:tc>
          <w:tcPr>
            <w:shd w:fill="FCE8E6" w:val="clear"/>
            <w:tcMar>
              <w:top w:type="dxa" w:w="80"/>
              <w:left w:type="dxa" w:w="100"/>
              <w:bottom w:type="dxa" w:w="80"/>
              <w:right w:type="dxa" w:w="100"/>
            </w:tcMar>
          </w:tcPr>
          <w:p>
            <w:pPr>
              <w:spacing w:after="0"/>
            </w:pPr>
            <w:r>
              <w:rPr>
                <w:b w:val="false"/>
                <w:bCs w:val="false"/>
                <w:color w:val="C00000"/>
                <w:sz w:val="17"/>
                <w:szCs w:val="17"/>
              </w:rPr>
              <w:t xml:space="preserve">Password database credentials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Secret lifecycle/rotation overhead</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Entra workload identity for Flexible Server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No HPA/PDB/NetworkPolicy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Availability and lateral movement risk</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Define after resource/load baselines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AKS REPLACE_ME values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Overlay cannot be deployed safely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Supply UBS landing-zone ACR, DB, Key Vault, identity, DNS/TLS values</w:t>
            </w:r>
          </w:p>
        </w:tc>
      </w:tr>
      <w:tr>
        <w:trPr>
          <w:cantSplit/>
          <w:tblHeader w:val="false"/>
        </w:trPr>
        <w:tc>
          <w:tcPr>
            <w:shd w:fill="FCE8E6" w:val="clear"/>
            <w:tcMar>
              <w:top w:type="dxa" w:w="80"/>
              <w:left w:type="dxa" w:w="100"/>
              <w:bottom w:type="dxa" w:w="80"/>
              <w:right w:type="dxa" w:w="100"/>
            </w:tcMar>
          </w:tcPr>
          <w:p>
            <w:pPr>
              <w:spacing w:after="0"/>
            </w:pPr>
            <w:r>
              <w:rPr>
                <w:b w:val="false"/>
                <w:bCs w:val="false"/>
                <w:color w:val="C00000"/>
                <w:sz w:val="17"/>
                <w:szCs w:val="17"/>
              </w:rPr>
              <w:t xml:space="preserve">Terraform deferred</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Manual managed-resource provisioning risk</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Establish UBS-approved IaC once landing-zone contracts are known</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Jobs as always-on deployment</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Inefficient scheduling model</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Decide Deployment vs Kubernetes CronJob per feed/recalculation SLA</w:t>
            </w:r>
          </w:p>
        </w:tc>
      </w:tr>
    </w:tbl>
    <w:p>
      <w:pPr>
        <w:spacing w:after="120"/>
      </w:pPr>
    </w:p>
    <w:p>
      <w:r>
        <w:br w:type="page"/>
      </w:r>
    </w:p>
    <w:p>
      <w:pPr>
        <w:pStyle w:val="Heading1"/>
        <w:pBdr>
          <w:bottom w:val="single" w:color="C00000" w:sz="8"/>
        </w:pBdr>
        <w:spacing w:after="100" w:before="260"/>
      </w:pPr>
      <w:r>
        <w:rPr>
          <w:color w:val="292929"/>
        </w:rPr>
        <w:t xml:space="preserve">14. Non-Functional Design</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Quality</w:t>
            </w:r>
          </w:p>
        </w:tc>
        <w:tc>
          <w:tcPr>
            <w:shd w:fill="292929" w:val="clear"/>
            <w:tcMar>
              <w:top w:type="dxa" w:w="80"/>
              <w:left w:type="dxa" w:w="100"/>
              <w:bottom w:type="dxa" w:w="80"/>
              <w:right w:type="dxa" w:w="100"/>
            </w:tcMar>
          </w:tcPr>
          <w:p>
            <w:pPr>
              <w:spacing w:after="0"/>
            </w:pPr>
            <w:r>
              <w:rPr>
                <w:b/>
                <w:bCs/>
                <w:color w:val="FFFFFF"/>
                <w:sz w:val="18"/>
                <w:szCs w:val="18"/>
              </w:rPr>
              <w:t xml:space="preserve">Current design</w:t>
            </w:r>
          </w:p>
        </w:tc>
        <w:tc>
          <w:tcPr>
            <w:shd w:fill="292929" w:val="clear"/>
            <w:tcMar>
              <w:top w:type="dxa" w:w="80"/>
              <w:left w:type="dxa" w:w="100"/>
              <w:bottom w:type="dxa" w:w="80"/>
              <w:right w:type="dxa" w:w="100"/>
            </w:tcMar>
          </w:tcPr>
          <w:p>
            <w:pPr>
              <w:spacing w:after="0"/>
            </w:pPr>
            <w:r>
              <w:rPr>
                <w:b/>
                <w:bCs/>
                <w:color w:val="FFFFFF"/>
                <w:sz w:val="18"/>
                <w:szCs w:val="18"/>
              </w:rPr>
              <w:t xml:space="preserve">Required production evidence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Security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Token target, role/ownership policies, Key Vault target, same-origin routing</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Threat model, token validation tests, entitlement evidence, pen test</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Availability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Kubernetes probes/startup probes; bounded extraction</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SLOs, PDB/HPA, shared storage, recovery tests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Performance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Async upload, exact DB queries, virtual threads, caching for low-churn config</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Workbook/LP volume tests and database query baselines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Auditability</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Domain audit table, report history, transaction IDs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Stable identity, immutable retention, before/after evidence, access controls</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Data integrity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Flyway, PostgreSQL types/constraints, exact NUMERIC companions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Migration rehearsal, reconciliation and backup/restore tests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Operability</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Structured logs, health endpoints, Kustomize overlays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Azure Monitor dashboards, alerts, runbooks and support ownership</w:t>
            </w:r>
          </w:p>
        </w:tc>
      </w:tr>
    </w:tbl>
    <w:p>
      <w:pPr>
        <w:spacing w:after="120"/>
      </w:pPr>
    </w:p>
    <w:p>
      <w:r>
        <w:br w:type="page"/>
      </w:r>
    </w:p>
    <w:p>
      <w:pPr>
        <w:pStyle w:val="Heading1"/>
        <w:pBdr>
          <w:bottom w:val="single" w:color="C00000" w:sz="8"/>
        </w:pBdr>
        <w:spacing w:after="100" w:before="260"/>
      </w:pPr>
      <w:r>
        <w:rPr>
          <w:color w:val="292929"/>
        </w:rPr>
        <w:t xml:space="preserve">15. Testing Strategy</w:t>
      </w:r>
    </w:p>
    <w:p>
      <w:pPr>
        <w:pStyle w:val="ListParagraph"/>
        <w:numPr>
          <w:ilvl w:val="0"/>
          <w:numId w:val="1"/>
        </w:numPr>
        <w:spacing w:after="55"/>
      </w:pPr>
      <w:r>
        <w:rPr>
          <w:color w:val="292929"/>
          <w:sz w:val="20"/>
          <w:szCs w:val="20"/>
        </w:rPr>
        <w:t xml:space="preserve">Unit-test criteria resolution, rating waterfall, classification derivation, money parsing and BB math.</w:t>
      </w:r>
    </w:p>
    <w:p>
      <w:pPr>
        <w:pStyle w:val="ListParagraph"/>
        <w:numPr>
          <w:ilvl w:val="0"/>
          <w:numId w:val="1"/>
        </w:numPr>
        <w:spacing w:after="55"/>
      </w:pPr>
      <w:r>
        <w:rPr>
          <w:color w:val="292929"/>
          <w:sz w:val="20"/>
          <w:szCs w:val="20"/>
        </w:rPr>
        <w:t xml:space="preserve">Contract-test inspect/extract schemas and TypeScript API types.</w:t>
      </w:r>
    </w:p>
    <w:p>
      <w:pPr>
        <w:pStyle w:val="ListParagraph"/>
        <w:numPr>
          <w:ilvl w:val="0"/>
          <w:numId w:val="1"/>
        </w:numPr>
        <w:spacing w:after="55"/>
      </w:pPr>
      <w:r>
        <w:rPr>
          <w:color w:val="292929"/>
          <w:sz w:val="20"/>
          <w:szCs w:val="20"/>
        </w:rPr>
        <w:t xml:space="preserve">Regression-test every template with representative workbooks, multi-tab sleeves, group headers and summary-row suppression.</w:t>
      </w:r>
    </w:p>
    <w:p>
      <w:pPr>
        <w:pStyle w:val="ListParagraph"/>
        <w:numPr>
          <w:ilvl w:val="0"/>
          <w:numId w:val="1"/>
        </w:numPr>
        <w:spacing w:after="55"/>
      </w:pPr>
      <w:r>
        <w:rPr>
          <w:color w:val="292929"/>
          <w:sz w:val="20"/>
          <w:szCs w:val="20"/>
        </w:rPr>
        <w:t xml:space="preserve">Integration-test PostgreSQL repositories, UPSERTs, JSONB snapshots and Flyway migrations using Zonky.</w:t>
      </w:r>
    </w:p>
    <w:p>
      <w:pPr>
        <w:pStyle w:val="ListParagraph"/>
        <w:numPr>
          <w:ilvl w:val="0"/>
          <w:numId w:val="1"/>
        </w:numPr>
        <w:spacing w:after="55"/>
      </w:pPr>
      <w:r>
        <w:rPr>
          <w:color w:val="292929"/>
          <w:sz w:val="20"/>
          <w:szCs w:val="20"/>
        </w:rPr>
        <w:t xml:space="preserve">Security-test every matrix row for owner, other Analyst, Manager, unknown/no role and invalid token.</w:t>
      </w:r>
    </w:p>
    <w:p>
      <w:pPr>
        <w:pStyle w:val="ListParagraph"/>
        <w:numPr>
          <w:ilvl w:val="0"/>
          <w:numId w:val="1"/>
        </w:numPr>
        <w:spacing w:after="55"/>
      </w:pPr>
      <w:r>
        <w:rPr>
          <w:color w:val="292929"/>
          <w:sz w:val="20"/>
          <w:szCs w:val="20"/>
        </w:rPr>
        <w:t xml:space="preserve">Workflow-test maker/checker separation, rejection, reassignment, override reason and audit evidence.</w:t>
      </w:r>
    </w:p>
    <w:p>
      <w:pPr>
        <w:pStyle w:val="ListParagraph"/>
        <w:numPr>
          <w:ilvl w:val="0"/>
          <w:numId w:val="1"/>
        </w:numPr>
        <w:spacing w:after="55"/>
      </w:pPr>
      <w:r>
        <w:rPr>
          <w:color w:val="292929"/>
          <w:sz w:val="20"/>
          <w:szCs w:val="20"/>
        </w:rPr>
        <w:t xml:space="preserve">UI-test the five-step workflow, access denial, stale snapshots, breach displays and export history.</w:t>
      </w:r>
    </w:p>
    <w:p>
      <w:pPr>
        <w:pStyle w:val="ListParagraph"/>
        <w:numPr>
          <w:ilvl w:val="0"/>
          <w:numId w:val="1"/>
        </w:numPr>
        <w:spacing w:after="55"/>
      </w:pPr>
      <w:r>
        <w:rPr>
          <w:color w:val="292929"/>
          <w:sz w:val="20"/>
          <w:szCs w:val="20"/>
        </w:rPr>
        <w:t xml:space="preserve">Deployment-test probes, graceful restart, upload durability, database failover and Key Vault rotation.</w:t>
      </w:r>
    </w:p>
    <w:p>
      <w:r>
        <w:br w:type="page"/>
      </w:r>
    </w:p>
    <w:p>
      <w:pPr>
        <w:pStyle w:val="Heading1"/>
        <w:pBdr>
          <w:bottom w:val="single" w:color="C00000" w:sz="8"/>
        </w:pBdr>
        <w:spacing w:after="100" w:before="260"/>
      </w:pPr>
      <w:r>
        <w:rPr>
          <w:color w:val="292929"/>
        </w:rPr>
        <w:t xml:space="preserve">16. Decision and Gap Register</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ID</w:t>
            </w:r>
          </w:p>
        </w:tc>
        <w:tc>
          <w:tcPr>
            <w:shd w:fill="292929" w:val="clear"/>
            <w:tcMar>
              <w:top w:type="dxa" w:w="80"/>
              <w:left w:type="dxa" w:w="100"/>
              <w:bottom w:type="dxa" w:w="80"/>
              <w:right w:type="dxa" w:w="100"/>
            </w:tcMar>
          </w:tcPr>
          <w:p>
            <w:pPr>
              <w:spacing w:after="0"/>
            </w:pPr>
            <w:r>
              <w:rPr>
                <w:b/>
                <w:bCs/>
                <w:color w:val="FFFFFF"/>
                <w:sz w:val="18"/>
                <w:szCs w:val="18"/>
              </w:rPr>
              <w:t xml:space="preserve">Decision / gap</w:t>
            </w:r>
          </w:p>
        </w:tc>
        <w:tc>
          <w:tcPr>
            <w:shd w:fill="292929" w:val="clear"/>
            <w:tcMar>
              <w:top w:type="dxa" w:w="80"/>
              <w:left w:type="dxa" w:w="100"/>
              <w:bottom w:type="dxa" w:w="80"/>
              <w:right w:type="dxa" w:w="100"/>
            </w:tcMar>
          </w:tcPr>
          <w:p>
            <w:pPr>
              <w:spacing w:after="0"/>
            </w:pPr>
            <w:r>
              <w:rPr>
                <w:b/>
                <w:bCs/>
                <w:color w:val="FFFFFF"/>
                <w:sz w:val="18"/>
                <w:szCs w:val="18"/>
              </w:rPr>
              <w:t xml:space="preserve">State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D-01</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Flat repositories with explicit service contracts</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decided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D-02</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API owns domain logic/schema; extraction is stateless</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D-03</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Import-driven template registry; no hardcoded Agent/fund names</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D-04</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bb_criteria_matrix is calculation-default source of truth</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implemented/design baseline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D-05</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Exact numeric companions precede formatted-string parsing</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implemented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D-06</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AKS is UBS Azure compute target</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decided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D-07</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Intra ID OIDC/PKCE + App Roles governed by AACM/MAC</w:t>
            </w:r>
          </w:p>
        </w:tc>
        <w:tc>
          <w:tcPr>
            <w:shd w:fill="E8F3E8" w:val="clear"/>
            <w:tcMar>
              <w:top w:type="dxa" w:w="80"/>
              <w:left w:type="dxa" w:w="100"/>
              <w:bottom w:type="dxa" w:w="80"/>
              <w:right w:type="dxa" w:w="100"/>
            </w:tcMar>
          </w:tcPr>
          <w:p>
            <w:pPr>
              <w:spacing w:after="0"/>
            </w:pPr>
            <w:r>
              <w:rPr>
                <w:b w:val="false"/>
                <w:bCs w:val="false"/>
                <w:color w:val="2E7D32"/>
                <w:sz w:val="17"/>
                <w:szCs w:val="17"/>
              </w:rPr>
              <w:t xml:space="preserve">GREEN — approved target</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G-01</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OIDC/JWT resource-server integration incomplete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pre-production blocker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G-02</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Ownership and maker-checker enforcement incomplete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pre-production blocker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G-03</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Shared durable upload storage absent</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scale/recovery blocker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G-04</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Pension concentration engine rule absent</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functional gap</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G-05</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Facility CRUD production permissions awaiting business approval</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deny by default</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G-06</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Audit immutability/retention and stable identity incomplete</w:t>
            </w:r>
          </w:p>
        </w:tc>
        <w:tc>
          <w:tcPr>
            <w:shd w:fill="FCE8E6" w:val="clear"/>
            <w:tcMar>
              <w:top w:type="dxa" w:w="80"/>
              <w:left w:type="dxa" w:w="100"/>
              <w:bottom w:type="dxa" w:w="80"/>
              <w:right w:type="dxa" w:w="100"/>
            </w:tcMar>
          </w:tcPr>
          <w:p>
            <w:pPr>
              <w:spacing w:after="0"/>
            </w:pPr>
            <w:r>
              <w:rPr>
                <w:b w:val="false"/>
                <w:bCs w:val="false"/>
                <w:color w:val="C00000"/>
                <w:sz w:val="17"/>
                <w:szCs w:val="17"/>
              </w:rPr>
              <w:t xml:space="preserve">RED — regulated-control gap</w:t>
            </w:r>
          </w:p>
        </w:tc>
      </w:tr>
    </w:tbl>
    <w:p>
      <w:pPr>
        <w:spacing w:after="120"/>
      </w:pPr>
    </w:p>
    <w:p>
      <w:r>
        <w:br w:type="page"/>
      </w:r>
    </w:p>
    <w:p>
      <w:pPr>
        <w:pStyle w:val="Heading1"/>
        <w:pBdr>
          <w:bottom w:val="single" w:color="C00000" w:sz="8"/>
        </w:pBdr>
        <w:spacing w:after="100" w:before="260"/>
      </w:pPr>
      <w:r>
        <w:rPr>
          <w:color w:val="292929"/>
        </w:rPr>
        <w:t xml:space="preserve">17. Operational Runbook Summary</w:t>
      </w:r>
    </w:p>
    <w:p>
      <w:pPr>
        <w:pStyle w:val="ListParagraph"/>
        <w:numPr>
          <w:ilvl w:val="0"/>
          <w:numId w:val="2"/>
        </w:numPr>
        <w:spacing w:after="55"/>
      </w:pPr>
      <w:r>
        <w:rPr>
          <w:color w:val="292929"/>
          <w:sz w:val="20"/>
          <w:szCs w:val="20"/>
        </w:rPr>
        <w:t xml:space="preserve">Confirm API-owned Flyway migrations complete before enabling job startup feeds.</w:t>
      </w:r>
    </w:p>
    <w:p>
      <w:pPr>
        <w:pStyle w:val="ListParagraph"/>
        <w:numPr>
          <w:ilvl w:val="0"/>
          <w:numId w:val="2"/>
        </w:numPr>
        <w:spacing w:after="55"/>
      </w:pPr>
      <w:r>
        <w:rPr>
          <w:color w:val="292929"/>
          <w:sz w:val="20"/>
          <w:szCs w:val="20"/>
        </w:rPr>
        <w:t xml:space="preserve">Validate template registry import and expected template versions.</w:t>
      </w:r>
    </w:p>
    <w:p>
      <w:pPr>
        <w:pStyle w:val="ListParagraph"/>
        <w:numPr>
          <w:ilvl w:val="0"/>
          <w:numId w:val="2"/>
        </w:numPr>
        <w:spacing w:after="55"/>
      </w:pPr>
      <w:r>
        <w:rPr>
          <w:color w:val="292929"/>
          <w:sz w:val="20"/>
          <w:szCs w:val="20"/>
        </w:rPr>
        <w:t xml:space="preserve">Monitor extraction queue saturation, Processing age and Error submissions by correlation ID.</w:t>
      </w:r>
    </w:p>
    <w:p>
      <w:pPr>
        <w:pStyle w:val="ListParagraph"/>
        <w:numPr>
          <w:ilvl w:val="0"/>
          <w:numId w:val="2"/>
        </w:numPr>
        <w:spacing w:after="55"/>
      </w:pPr>
      <w:r>
        <w:rPr>
          <w:color w:val="292929"/>
          <w:sz w:val="20"/>
          <w:szCs w:val="20"/>
        </w:rPr>
        <w:t xml:space="preserve">Reconcile accepted Shadow BB totals to snapshot and report exports.</w:t>
      </w:r>
    </w:p>
    <w:p>
      <w:pPr>
        <w:pStyle w:val="ListParagraph"/>
        <w:numPr>
          <w:ilvl w:val="0"/>
          <w:numId w:val="2"/>
        </w:numPr>
        <w:spacing w:after="55"/>
      </w:pPr>
      <w:r>
        <w:rPr>
          <w:color w:val="292929"/>
          <w:sz w:val="20"/>
          <w:szCs w:val="20"/>
        </w:rPr>
        <w:t xml:space="preserve">Treat criteria/config changes as controlled, audited production changes.</w:t>
      </w:r>
    </w:p>
    <w:p>
      <w:pPr>
        <w:pStyle w:val="ListParagraph"/>
        <w:numPr>
          <w:ilvl w:val="0"/>
          <w:numId w:val="2"/>
        </w:numPr>
        <w:spacing w:after="55"/>
      </w:pPr>
      <w:r>
        <w:rPr>
          <w:color w:val="292929"/>
          <w:sz w:val="20"/>
          <w:szCs w:val="20"/>
        </w:rPr>
        <w:t xml:space="preserve">Investigate authorization failures using correlation ID and stable identity without logging tokens.</w:t>
      </w:r>
    </w:p>
    <w:p>
      <w:pPr>
        <w:pStyle w:val="ListParagraph"/>
        <w:numPr>
          <w:ilvl w:val="0"/>
          <w:numId w:val="2"/>
        </w:numPr>
        <w:spacing w:after="55"/>
      </w:pPr>
      <w:r>
        <w:rPr>
          <w:color w:val="292929"/>
          <w:sz w:val="20"/>
          <w:szCs w:val="20"/>
        </w:rPr>
        <w:t xml:space="preserve">Do not deploy the AKS overlay while placeholders remain or while API replicas exceed durable upload-storage capability.</w:t>
      </w:r>
    </w:p>
    <w:p>
      <w:r>
        <w:br w:type="page"/>
      </w:r>
    </w:p>
    <w:p>
      <w:pPr>
        <w:pStyle w:val="Heading1"/>
        <w:pBdr>
          <w:bottom w:val="single" w:color="C00000" w:sz="8"/>
        </w:pBdr>
        <w:spacing w:after="100" w:before="260"/>
      </w:pPr>
      <w:r>
        <w:rPr>
          <w:color w:val="292929"/>
        </w:rPr>
        <w:t xml:space="preserve">Appendix A. Authoritative Source Map</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Topic</w:t>
            </w:r>
          </w:p>
        </w:tc>
        <w:tc>
          <w:tcPr>
            <w:shd w:fill="292929" w:val="clear"/>
            <w:tcMar>
              <w:top w:type="dxa" w:w="80"/>
              <w:left w:type="dxa" w:w="100"/>
              <w:bottom w:type="dxa" w:w="80"/>
              <w:right w:type="dxa" w:w="100"/>
            </w:tcMar>
          </w:tcPr>
          <w:p>
            <w:pPr>
              <w:spacing w:after="0"/>
            </w:pPr>
            <w:r>
              <w:rPr>
                <w:b/>
                <w:bCs/>
                <w:color w:val="FFFFFF"/>
                <w:sz w:val="18"/>
                <w:szCs w:val="18"/>
              </w:rPr>
              <w:t xml:space="preserve">Primary living source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Overall implementation</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pe-sub-docs/SOLUTION_DESIGN.md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New workflow</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pe-sub-docs/NEW_BB_PROCESS_FLOW.md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Extraction boundary</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pe-sub-docs/EXTRACTION_CONTRACT.md, openapi-extraction.yaml</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Criteria</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pe-sub-docs/BB_CRITERIA_DESIGN.md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Template changes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pe-sub-docs/BB_TEMPLATE_CHANGES_JUNE_28.md and workbook notes</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Identity/RBAC</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pe-sub-docs/RBAC_ROLES.md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UI visual behavior</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pe-sub-docs/UI_CONVENTIONS.md, pe-sub-ui/README.md, archived prototype</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LP schema mapping</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pe-sub-docs/MASTER_DB_MAPPING.md</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Service operations</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pe-sub-extraction/README.md, pe-sub-jobs/README.md, pe-sub-ui/README.md</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Azure/Kubernetes</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pe-sub-infra/README.md</w:t>
            </w:r>
          </w:p>
        </w:tc>
      </w:tr>
    </w:tbl>
    <w:p>
      <w:pPr>
        <w:spacing w:after="120"/>
      </w:pPr>
    </w:p>
    <w:p>
      <w:r>
        <w:br w:type="page"/>
      </w:r>
    </w:p>
    <w:p>
      <w:pPr>
        <w:pStyle w:val="Heading1"/>
        <w:pBdr>
          <w:bottom w:val="single" w:color="C00000" w:sz="8"/>
        </w:pBdr>
        <w:spacing w:after="100" w:before="260"/>
      </w:pPr>
      <w:r>
        <w:rPr>
          <w:color w:val="292929"/>
        </w:rPr>
        <w:t xml:space="preserve">Appendix B. Glossary</w:t>
      </w:r>
    </w:p>
    <w:tbl>
      <w:tblPr>
        <w:tblW w:type="pct" w:w="100%"/>
        <w:tblBorders>
          <w:top w:val="single" w:color="B7B7B7" w:sz="4"/>
          <w:left w:val="single" w:color="B7B7B7" w:sz="4"/>
          <w:bottom w:val="single" w:color="B7B7B7" w:sz="4"/>
          <w:right w:val="single" w:color="B7B7B7" w:sz="4"/>
          <w:insideH w:val="single" w:color="B7B7B7" w:sz="2"/>
          <w:insideV w:val="single" w:color="B7B7B7" w:sz="2"/>
        </w:tblBorders>
      </w:tblPr>
      <w:tblGrid>
        <w:gridCol w:w="100"/>
        <w:gridCol w:w="100"/>
      </w:tblGrid>
      <w:tr>
        <w:trPr>
          <w:cantSplit/>
          <w:tblHeader/>
        </w:trPr>
        <w:tc>
          <w:tcPr>
            <w:shd w:fill="292929" w:val="clear"/>
            <w:tcMar>
              <w:top w:type="dxa" w:w="80"/>
              <w:left w:type="dxa" w:w="100"/>
              <w:bottom w:type="dxa" w:w="80"/>
              <w:right w:type="dxa" w:w="100"/>
            </w:tcMar>
          </w:tcPr>
          <w:p>
            <w:pPr>
              <w:spacing w:after="0"/>
            </w:pPr>
            <w:r>
              <w:rPr>
                <w:b/>
                <w:bCs/>
                <w:color w:val="FFFFFF"/>
                <w:sz w:val="18"/>
                <w:szCs w:val="18"/>
              </w:rPr>
              <w:t xml:space="preserve">Term</w:t>
            </w:r>
          </w:p>
        </w:tc>
        <w:tc>
          <w:tcPr>
            <w:shd w:fill="292929" w:val="clear"/>
            <w:tcMar>
              <w:top w:type="dxa" w:w="80"/>
              <w:left w:type="dxa" w:w="100"/>
              <w:bottom w:type="dxa" w:w="80"/>
              <w:right w:type="dxa" w:w="100"/>
            </w:tcMar>
          </w:tcPr>
          <w:p>
            <w:pPr>
              <w:spacing w:after="0"/>
            </w:pPr>
            <w:r>
              <w:rPr>
                <w:b/>
                <w:bCs/>
                <w:color w:val="FFFFFF"/>
                <w:sz w:val="18"/>
                <w:szCs w:val="18"/>
              </w:rPr>
              <w:t xml:space="preserve">Definition</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AUM</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Assets under management</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Borrowing Base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BUSA</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UBS booking/lending entity context used for UBS rate schedule terminology</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EAR</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Effective Advance Rate</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GP</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General Partner</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LP</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Limited Partner</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MAC</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UBS entitlement governance mechanism used by onboarding path</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Shadow BB</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UBS independent reconstruction of collateral availability</w:t>
            </w:r>
          </w:p>
        </w:tc>
      </w:tr>
      <w:tr>
        <w:trPr>
          <w:cantSplit/>
          <w:tblHeader w:val="false"/>
        </w:trPr>
        <w:tc>
          <w:tcPr>
            <w:shd w:fill="FFFFFF" w:val="clear"/>
            <w:tcMar>
              <w:top w:type="dxa" w:w="80"/>
              <w:left w:type="dxa" w:w="100"/>
              <w:bottom w:type="dxa" w:w="80"/>
              <w:right w:type="dxa" w:w="100"/>
            </w:tcMar>
          </w:tcPr>
          <w:p>
            <w:pPr>
              <w:spacing w:after="0"/>
            </w:pPr>
            <w:r>
              <w:rPr>
                <w:b w:val="false"/>
                <w:bCs w:val="false"/>
                <w:color w:val="292929"/>
                <w:sz w:val="17"/>
                <w:szCs w:val="17"/>
              </w:rPr>
              <w:t xml:space="preserve">Sleeve</w:t>
            </w:r>
          </w:p>
        </w:tc>
        <w:tc>
          <w:tcPr>
            <w:shd w:fill="FFFFFF" w:val="clear"/>
            <w:tcMar>
              <w:top w:type="dxa" w:w="80"/>
              <w:left w:type="dxa" w:w="100"/>
              <w:bottom w:type="dxa" w:w="80"/>
              <w:right w:type="dxa" w:w="100"/>
            </w:tcMar>
          </w:tcPr>
          <w:p>
            <w:pPr>
              <w:spacing w:after="0"/>
            </w:pPr>
            <w:r>
              <w:rPr>
                <w:b w:val="false"/>
                <w:bCs w:val="false"/>
                <w:color w:val="292929"/>
                <w:sz w:val="17"/>
                <w:szCs w:val="17"/>
              </w:rPr>
              <w:t xml:space="preserve">Fund/tranche grouping whose totals may be calculated independently</w:t>
            </w:r>
          </w:p>
        </w:tc>
      </w:tr>
      <w:tr>
        <w:trPr>
          <w:cantSplit/>
          <w:tblHeader w:val="false"/>
        </w:trPr>
        <w:tc>
          <w:tcPr>
            <w:shd w:fill="F4F4F4" w:val="clear"/>
            <w:tcMar>
              <w:top w:type="dxa" w:w="80"/>
              <w:left w:type="dxa" w:w="100"/>
              <w:bottom w:type="dxa" w:w="80"/>
              <w:right w:type="dxa" w:w="100"/>
            </w:tcMar>
          </w:tcPr>
          <w:p>
            <w:pPr>
              <w:spacing w:after="0"/>
            </w:pPr>
            <w:r>
              <w:rPr>
                <w:b w:val="false"/>
                <w:bCs w:val="false"/>
                <w:color w:val="292929"/>
                <w:sz w:val="17"/>
                <w:szCs w:val="17"/>
              </w:rPr>
              <w:t xml:space="preserve">uuName</w:t>
            </w:r>
          </w:p>
        </w:tc>
        <w:tc>
          <w:tcPr>
            <w:shd w:fill="F4F4F4" w:val="clear"/>
            <w:tcMar>
              <w:top w:type="dxa" w:w="80"/>
              <w:left w:type="dxa" w:w="100"/>
              <w:bottom w:type="dxa" w:w="80"/>
              <w:right w:type="dxa" w:w="100"/>
            </w:tcMar>
          </w:tcPr>
          <w:p>
            <w:pPr>
              <w:spacing w:after="0"/>
            </w:pPr>
            <w:r>
              <w:rPr>
                <w:b w:val="false"/>
                <w:bCs w:val="false"/>
                <w:color w:val="292929"/>
                <w:sz w:val="17"/>
                <w:szCs w:val="17"/>
              </w:rPr>
              <w:t xml:space="preserve">Stable UBS identity attribute used for ownership and audit lookup</w:t>
            </w:r>
          </w:p>
        </w:tc>
      </w:tr>
    </w:tbl>
    <w:p>
      <w:pPr>
        <w:spacing w:after="120"/>
      </w:pPr>
    </w:p>
    <w:sectPr>
      <w:headerReference w:type="default" r:id="rId7"/>
      <w:footerReference w:type="default" r:id="rId8"/>
      <w:pgSz w:w="11906" w:h="16838" w:orient="portrait"/>
      <w:pgMar w:top="90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54545"/>
        <w:sz w:val="15"/>
        <w:szCs w:val="15"/>
      </w:rPr>
      <w:t xml:space="preserve">UBS Confidential  ·  </w:t>
    </w:r>
    <w:r>
      <w:rPr>
        <w:color w:val="45454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pBdr>
    </w:pPr>
    <w:r>
      <w:rPr>
        <w:b/>
        <w:bCs/>
        <w:color w:val="454545"/>
        <w:sz w:val="15"/>
        <w:szCs w:val="15"/>
      </w:rPr>
      <w:t xml:space="preserve">PE SUB PLATFORM  |  SOLUTION DESIGN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92929"/>
        <w:sz w:val="20"/>
        <w:szCs w:val="20"/>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ptos Display" w:cs="Aptos Display" w:eastAsia="Aptos Display" w:hAnsi="Aptos Display"/>
      <w:b/>
      <w:bCs/>
      <w:color w:val="292929"/>
      <w:sz w:val="52"/>
      <w:szCs w:val="52"/>
    </w:rPr>
  </w:style>
  <w:style w:type="paragraph" w:styleId="Heading1">
    <w:name w:val="Heading 1"/>
    <w:basedOn w:val="Normal"/>
    <w:next w:val="Normal"/>
    <w:qFormat/>
    <w:pPr>
      <w:keepNext/>
      <w:spacing w:after="100" w:before="280"/>
      <w:outlineLvl w:val="0"/>
    </w:pPr>
    <w:rPr>
      <w:rFonts w:ascii="Aptos Display" w:cs="Aptos Display" w:eastAsia="Aptos Display" w:hAnsi="Aptos Display"/>
      <w:b/>
      <w:bCs/>
      <w:color w:val="292929"/>
      <w:sz w:val="31"/>
      <w:szCs w:val="31"/>
    </w:rPr>
  </w:style>
  <w:style w:type="paragraph" w:styleId="Heading2">
    <w:name w:val="Heading 2"/>
    <w:basedOn w:val="Normal"/>
    <w:next w:val="Normal"/>
    <w:qFormat/>
    <w:pPr>
      <w:keepNext/>
      <w:spacing w:after="80" w:before="220"/>
      <w:outlineLvl w:val="1"/>
    </w:pPr>
    <w:rPr>
      <w:rFonts w:ascii="Aptos Display" w:cs="Aptos Display" w:eastAsia="Aptos Display" w:hAnsi="Aptos Display"/>
      <w:b/>
      <w:bCs/>
      <w:color w:val="C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Sub Platform — Solution Design v3</dc:title>
  <dc:creator>UBS Credit Technology — PE Sub Finance</dc:creator>
  <dc:description>Consolidated technical design for the PE Subscription Borrowing Base Platform</dc:description>
  <cp:lastModifiedBy>Un-named</cp:lastModifiedBy>
  <cp:revision>1</cp:revision>
  <dcterms:created xsi:type="dcterms:W3CDTF">2026-07-10T18:35:39.224Z</dcterms:created>
  <dcterms:modified xsi:type="dcterms:W3CDTF">2026-07-10T18:35:39.225Z</dcterms:modified>
</cp:coreProperties>
</file>

<file path=docProps/custom.xml><?xml version="1.0" encoding="utf-8"?>
<Properties xmlns="http://schemas.openxmlformats.org/officeDocument/2006/custom-properties" xmlns:vt="http://schemas.openxmlformats.org/officeDocument/2006/docPropsVTypes"/>
</file>