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200"/>
        <w:rPr>
          <w:b/>
          <w:b/>
          <w:bCs/>
          <w:color w:val="292929"/>
          <w:sz w:val="58"/>
          <w:szCs w:val="58"/>
        </w:rPr>
      </w:pPr>
      <w:r>
        <w:rPr>
          <w:b/>
          <w:bCs/>
          <w:color w:val="292929"/>
          <w:sz w:val="58"/>
          <w:szCs w:val="58"/>
        </w:rPr>
        <w:t>PE SUB PLATFORM</w:t>
      </w:r>
    </w:p>
    <w:p>
      <w:pPr>
        <w:pStyle w:val="Normal"/>
        <w:pBdr>
          <w:bottom w:val="single" w:sz="48" w:space="0" w:color="C00000"/>
        </w:pBdr>
        <w:spacing w:before="0" w:after="220"/>
        <w:rPr>
          <w:b/>
          <w:b/>
          <w:bCs/>
          <w:color w:val="C00000"/>
          <w:sz w:val="42"/>
          <w:szCs w:val="42"/>
        </w:rPr>
      </w:pPr>
      <w:r>
        <w:rPr>
          <w:b/>
          <w:bCs/>
          <w:color w:val="C00000"/>
          <w:sz w:val="42"/>
          <w:szCs w:val="42"/>
        </w:rPr>
        <w:t>Solution Design v3</w:t>
      </w:r>
    </w:p>
    <w:p>
      <w:pPr>
        <w:pStyle w:val="Normal"/>
        <w:spacing w:before="0" w:after="500"/>
        <w:rPr>
          <w:color w:val="454545"/>
          <w:sz w:val="25"/>
          <w:szCs w:val="25"/>
        </w:rPr>
      </w:pPr>
      <w:r>
        <w:rPr>
          <w:color w:val="454545"/>
          <w:sz w:val="25"/>
          <w:szCs w:val="25"/>
        </w:rPr>
        <w:t>Consolidated Business, Application, Data, Security and Azure Design</w:t>
      </w:r>
    </w:p>
    <w:tbl>
      <w:tblPr>
        <w:tblW w:w="5000" w:type="pct"/>
        <w:jc w:val="left"/>
        <w:tblInd w:w="0" w:type="dxa"/>
        <w:tblLayout w:type="fixed"/>
        <w:tblCellMar>
          <w:top w:w="80" w:type="dxa"/>
          <w:left w:w="100" w:type="dxa"/>
          <w:bottom w:w="80" w:type="dxa"/>
          <w:right w:w="100" w:type="dxa"/>
        </w:tblCellMar>
      </w:tblPr>
      <w:tblGrid>
        <w:gridCol w:w="5102"/>
        <w:gridCol w:w="5103"/>
      </w:tblGrid>
      <w:tr>
        <w:trPr>
          <w:tblHeader w:val="true"/>
          <w:cantSplit w:val="true"/>
        </w:trPr>
        <w:tc>
          <w:tcPr>
            <w:tcW w:w="51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Document attribute</w:t>
            </w:r>
          </w:p>
        </w:tc>
        <w:tc>
          <w:tcPr>
            <w:tcW w:w="5103"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Value</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Version</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3.0</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Date</w:t>
            </w:r>
          </w:p>
        </w:tc>
        <w:tc>
          <w:tcPr>
            <w:tcW w:w="5103"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10 July 2026</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Status</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Consolidated Technical Design</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Classification</w:t>
            </w:r>
          </w:p>
        </w:tc>
        <w:tc>
          <w:tcPr>
            <w:tcW w:w="5103"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UBS Confidential</w:t>
            </w:r>
          </w:p>
        </w:tc>
      </w:tr>
      <w:tr>
        <w:trPr>
          <w:cantSplit w:val="true"/>
        </w:trPr>
        <w:tc>
          <w:tcPr>
            <w:tcW w:w="5102"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Audience</w:t>
            </w:r>
          </w:p>
        </w:tc>
        <w:tc>
          <w:tcPr>
            <w:tcW w:w="5103" w:type="dxa"/>
            <w:tcBorders>
              <w:top w:val="single" w:sz="2" w:space="0" w:color="B7B7B7"/>
              <w:left w:val="single" w:sz="2" w:space="0" w:color="B7B7B7"/>
              <w:bottom w:val="single" w:sz="4"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Lending Technology · PE Subscription Finance · Credit Risk · Operations · Architecture · Security</w:t>
            </w:r>
          </w:p>
        </w:tc>
      </w:tr>
    </w:tbl>
    <w:p>
      <w:pPr>
        <w:pStyle w:val="Normal"/>
        <w:spacing w:before="700" w:after="100"/>
        <w:jc w:val="center"/>
        <w:rPr>
          <w:b/>
          <w:b/>
          <w:bCs/>
          <w:color w:val="C00000"/>
          <w:sz w:val="18"/>
          <w:szCs w:val="18"/>
        </w:rPr>
      </w:pPr>
      <w:r>
        <w:rPr>
          <w:b/>
          <w:bCs/>
          <w:color w:val="C00000"/>
          <w:sz w:val="18"/>
          <w:szCs w:val="18"/>
        </w:rPr>
        <w:t>UBS CONFIDENTIAL</w:t>
      </w:r>
    </w:p>
    <w:p>
      <w:pPr>
        <w:pStyle w:val="Normal"/>
        <w:rPr/>
      </w:pPr>
      <w:r>
        <w:rPr/>
      </w:r>
      <w:r>
        <w:br w:type="page"/>
      </w:r>
    </w:p>
    <w:p>
      <w:pPr>
        <w:pStyle w:val="Heading1"/>
        <w:pBdr>
          <w:bottom w:val="single" w:sz="8" w:space="0" w:color="C00000"/>
        </w:pBdr>
        <w:rPr>
          <w:color w:val="292929"/>
        </w:rPr>
      </w:pPr>
      <w:r>
        <w:rPr>
          <w:color w:val="292929"/>
        </w:rPr>
        <w:t>Contents</w:t>
      </w:r>
    </w:p>
    <w:p>
      <w:pPr>
        <w:pStyle w:val="Normal"/>
        <w:rPr/>
      </w:pPr>
      <w:r>
        <w:fldChar w:fldCharType="begin"/>
      </w:r>
      <w:r>
        <w:rPr/>
      </w:r>
      <w:r>
        <w:rPr/>
      </w:r>
      <w:r>
        <w:rPr/>
        <w:fldChar w:fldCharType="separate"/>
      </w:r>
      <w:r>
        <w:rPr/>
      </w:r>
      <w:sdt>
        <w:sdtPr>
          <w:alias w:val="Table of Contents"/>
        </w:sdtPr>
        <w:sdtContent>
          <w:r>
            <w:rPr/>
            <w:t>TOC \h \o "1-2"</w:t>
          </w:r>
        </w:sdtContent>
      </w:sdt>
    </w:p>
    <w:p>
      <w:pPr>
        <w:pStyle w:val="Normal"/>
        <w:rPr/>
      </w:pPr>
      <w:r/>
      <w:r>
        <w:rPr/>
        <w:fldChar w:fldCharType="end"/>
      </w:r>
      <w:r>
        <w:rPr/>
      </w:r>
    </w:p>
    <w:p>
      <w:pPr>
        <w:pStyle w:val="Normal"/>
        <w:rPr/>
      </w:pPr>
      <w:r>
        <w:rPr/>
      </w:r>
      <w:r>
        <w:br w:type="page"/>
      </w:r>
    </w:p>
    <w:p>
      <w:pPr>
        <w:pStyle w:val="Normal"/>
        <w:pBdr>
          <w:left w:val="single" w:sz="28" w:space="0" w:color="C00000"/>
        </w:pBdr>
        <w:shd w:val="clear" w:fill="FCE8E6"/>
        <w:spacing w:before="80" w:after="120"/>
        <w:ind w:left="180" w:hanging="0"/>
        <w:rPr>
          <w:i/>
          <w:i/>
          <w:iCs/>
          <w:color w:val="454545"/>
          <w:sz w:val="19"/>
          <w:szCs w:val="19"/>
        </w:rPr>
      </w:pPr>
      <w:r>
        <w:rPr>
          <w:i/>
          <w:iCs/>
          <w:color w:val="454545"/>
          <w:sz w:val="19"/>
          <w:szCs w:val="19"/>
        </w:rPr>
        <w:t xml:space="preserve">Living document. Updated continuously as architecture and implementation decisions are made.  </w:t>
      </w:r>
    </w:p>
    <w:p>
      <w:pPr>
        <w:pStyle w:val="Normal"/>
        <w:pBdr>
          <w:left w:val="single" w:sz="28" w:space="0" w:color="C00000"/>
        </w:pBdr>
        <w:shd w:val="clear" w:fill="FCE8E6"/>
        <w:spacing w:before="80" w:after="120"/>
        <w:ind w:left="180" w:hanging="0"/>
        <w:rPr>
          <w:i/>
          <w:i/>
          <w:iCs/>
          <w:color w:val="454545"/>
          <w:sz w:val="19"/>
          <w:szCs w:val="19"/>
        </w:rPr>
      </w:pPr>
      <w:r>
        <w:rPr>
          <w:i/>
          <w:iCs/>
          <w:color w:val="454545"/>
          <w:sz w:val="19"/>
          <w:szCs w:val="19"/>
        </w:rPr>
        <w:t xml:space="preserve">Business context: see [Business Context](#business-context--private-equity-subscription-finance) below (merged from the former PE_SUB_SOLUTION.md).  </w:t>
      </w:r>
    </w:p>
    <w:p>
      <w:pPr>
        <w:pStyle w:val="Normal"/>
        <w:pBdr>
          <w:left w:val="single" w:sz="28" w:space="0" w:color="C00000"/>
        </w:pBdr>
        <w:shd w:val="clear" w:fill="FCE8E6"/>
        <w:spacing w:before="80" w:after="120"/>
        <w:ind w:left="180" w:hanging="0"/>
        <w:rPr>
          <w:i/>
          <w:i/>
          <w:iCs/>
          <w:color w:val="454545"/>
          <w:sz w:val="19"/>
          <w:szCs w:val="19"/>
        </w:rPr>
      </w:pPr>
      <w:r>
        <w:rPr>
          <w:i/>
          <w:iCs/>
          <w:color w:val="454545"/>
          <w:sz w:val="19"/>
          <w:szCs w:val="19"/>
        </w:rPr>
        <w:t xml:space="preserve">As-is process: BB_PROCESS_FLOW.md  </w:t>
      </w:r>
    </w:p>
    <w:p>
      <w:pPr>
        <w:pStyle w:val="Normal"/>
        <w:pBdr>
          <w:left w:val="single" w:sz="28" w:space="0" w:color="C00000"/>
        </w:pBdr>
        <w:shd w:val="clear" w:fill="FCE8E6"/>
        <w:spacing w:before="80" w:after="120"/>
        <w:ind w:left="180" w:hanging="0"/>
        <w:rPr>
          <w:i/>
          <w:i/>
          <w:iCs/>
          <w:color w:val="454545"/>
          <w:sz w:val="19"/>
          <w:szCs w:val="19"/>
        </w:rPr>
      </w:pPr>
      <w:r>
        <w:rPr>
          <w:i/>
          <w:iCs/>
          <w:color w:val="454545"/>
          <w:sz w:val="19"/>
          <w:szCs w:val="19"/>
        </w:rPr>
        <w:t>Prototype process: NEW_BB_PROCESS_FLOW.md</w:t>
      </w:r>
    </w:p>
    <w:p>
      <w:pPr>
        <w:pStyle w:val="Normal"/>
        <w:spacing w:lineRule="exact" w:line="290" w:before="0" w:after="105"/>
        <w:rPr>
          <w:color w:val="292929"/>
          <w:sz w:val="20"/>
          <w:szCs w:val="20"/>
        </w:rPr>
      </w:pPr>
      <w:r>
        <w:rPr>
          <w:color w:val="292929"/>
          <w:sz w:val="20"/>
          <w:szCs w:val="20"/>
        </w:rPr>
        <w:t>---</w:t>
      </w:r>
    </w:p>
    <w:p>
      <w:pPr>
        <w:pStyle w:val="Normal"/>
        <w:rPr/>
      </w:pPr>
      <w:r>
        <w:rPr/>
      </w:r>
      <w:r>
        <w:br w:type="page"/>
      </w:r>
    </w:p>
    <w:p>
      <w:pPr>
        <w:pStyle w:val="Heading1"/>
        <w:pBdr>
          <w:bottom w:val="single" w:sz="8" w:space="0" w:color="C00000"/>
        </w:pBdr>
        <w:spacing w:before="260" w:after="100"/>
        <w:rPr>
          <w:color w:val="292929"/>
        </w:rPr>
      </w:pPr>
      <w:r>
        <w:rPr>
          <w:color w:val="292929"/>
        </w:rPr>
        <w:t>Business Context — Private Equity Subscription Finance</w:t>
      </w:r>
    </w:p>
    <w:p>
      <w:pPr>
        <w:pStyle w:val="Normal"/>
        <w:pBdr>
          <w:left w:val="single" w:sz="28" w:space="0" w:color="C00000"/>
        </w:pBdr>
        <w:shd w:val="clear" w:fill="FCE8E6"/>
        <w:spacing w:before="80" w:after="120"/>
        <w:ind w:left="180" w:hanging="0"/>
        <w:rPr>
          <w:i/>
          <w:i/>
          <w:iCs/>
          <w:color w:val="454545"/>
          <w:sz w:val="19"/>
          <w:szCs w:val="19"/>
        </w:rPr>
      </w:pPr>
      <w:r>
        <w:rPr>
          <w:i/>
          <w:iCs/>
          <w:color w:val="454545"/>
          <w:sz w:val="19"/>
          <w:szCs w:val="19"/>
        </w:rPr>
        <w:t>Merged from the former standalone PE_SUB_SOLUTION.md. This section is the business</w:t>
      </w:r>
    </w:p>
    <w:p>
      <w:pPr>
        <w:pStyle w:val="Normal"/>
        <w:pBdr>
          <w:left w:val="single" w:sz="28" w:space="0" w:color="C00000"/>
        </w:pBdr>
        <w:shd w:val="clear" w:fill="FCE8E6"/>
        <w:spacing w:before="80" w:after="120"/>
        <w:ind w:left="180" w:hanging="0"/>
        <w:rPr>
          <w:i/>
          <w:i/>
          <w:iCs/>
          <w:color w:val="454545"/>
          <w:sz w:val="19"/>
          <w:szCs w:val="19"/>
        </w:rPr>
      </w:pPr>
      <w:r>
        <w:rPr>
          <w:i/>
          <w:iCs/>
          <w:color w:val="454545"/>
          <w:sz w:val="19"/>
          <w:szCs w:val="19"/>
        </w:rPr>
        <w:t>primer for the technical design that follows.</w:t>
      </w:r>
    </w:p>
    <w:p>
      <w:pPr>
        <w:pStyle w:val="Heading2"/>
        <w:spacing w:before="180" w:after="100"/>
        <w:rPr>
          <w:color w:val="454545"/>
        </w:rPr>
      </w:pPr>
      <w:r>
        <w:rPr>
          <w:color w:val="454545"/>
        </w:rPr>
        <w:t>What Is a Subscription Credit Facility?</w:t>
      </w:r>
    </w:p>
    <w:p>
      <w:pPr>
        <w:pStyle w:val="Normal"/>
        <w:spacing w:lineRule="exact" w:line="290" w:before="0" w:after="105"/>
        <w:rPr>
          <w:color w:val="292929"/>
          <w:sz w:val="20"/>
          <w:szCs w:val="20"/>
        </w:rPr>
      </w:pPr>
      <w:r>
        <w:rPr>
          <w:color w:val="292929"/>
          <w:sz w:val="20"/>
          <w:szCs w:val="20"/>
        </w:rPr>
        <w:t>A subscription credit facility (commonly called a "sub line" or "capital call facility") is a revolving credit line extended to a private equity fund. Unlike a conventional loan secured by real assets, a sub line is secured entirely by the unfunded capital commitments of the fund's limited partners. The lender is not lending against the portfolio — it is lending against the legal obligation of sophisticated investors to fund capital when called.</w:t>
      </w:r>
    </w:p>
    <w:p>
      <w:pPr>
        <w:pStyle w:val="Normal"/>
        <w:spacing w:lineRule="exact" w:line="290" w:before="0" w:after="105"/>
        <w:rPr>
          <w:color w:val="292929"/>
          <w:sz w:val="20"/>
          <w:szCs w:val="20"/>
        </w:rPr>
      </w:pPr>
      <w:r>
        <w:rPr>
          <w:color w:val="292929"/>
          <w:sz w:val="20"/>
          <w:szCs w:val="20"/>
        </w:rPr>
        <w:t>Sub lines exist because PE funds need to move faster than their investors can. Wiring $50 million to close an acquisition takes a business day from a bank; collecting that same amount from 200 pension funds and endowments takes two to three weeks. A sub line bridges that gap. The fund draws on the line, closes the deal, then issues a capital call to LPs to repay the bank. The cycle repeats throughout the fund's investment period, typically four to six years.</w:t>
      </w:r>
    </w:p>
    <w:p>
      <w:pPr>
        <w:pStyle w:val="Heading2"/>
        <w:spacing w:before="180" w:after="100"/>
        <w:rPr>
          <w:color w:val="454545"/>
        </w:rPr>
      </w:pPr>
      <w:r>
        <w:rPr>
          <w:color w:val="454545"/>
        </w:rPr>
        <w:t>Who Is Who</w:t>
      </w:r>
    </w:p>
    <w:p>
      <w:pPr>
        <w:pStyle w:val="Normal"/>
        <w:spacing w:lineRule="exact" w:line="290" w:before="0" w:after="105"/>
        <w:rPr>
          <w:color w:val="292929"/>
          <w:sz w:val="20"/>
          <w:szCs w:val="20"/>
        </w:rPr>
      </w:pPr>
      <w:r>
        <w:rPr>
          <w:color w:val="292929"/>
          <w:sz w:val="20"/>
          <w:szCs w:val="20"/>
        </w:rPr>
        <w:t>General Partner (GP) — the fund manager. BlackRock, KKR, Blue Owl, Apollo. The GP makes investment decisions, manages the fund, and is the borrower on the subscription facility. The GP controls when and how much to draw, and when to call capital from LPs to repay.</w:t>
      </w:r>
    </w:p>
    <w:p>
      <w:pPr>
        <w:pStyle w:val="Normal"/>
        <w:spacing w:lineRule="exact" w:line="290" w:before="0" w:after="105"/>
        <w:rPr>
          <w:color w:val="292929"/>
          <w:sz w:val="20"/>
          <w:szCs w:val="20"/>
        </w:rPr>
      </w:pPr>
      <w:r>
        <w:rPr>
          <w:color w:val="292929"/>
          <w:sz w:val="20"/>
          <w:szCs w:val="20"/>
        </w:rPr>
        <w:t>Limited Partners (LPs) — the investors. Pension funds, sovereign wealth funds, endowments, insurance companies, family offices. LPs sign a subscription agreement committing to contribute a fixed amount of capital over the fund's life. That unfunded commitment — the portion not yet called — is the collateral that backs the sub line. LPs never sign the loan documents; their commitment letters and the fund's partnership agreement give the bank the right to call capital directly if the GP defaults.</w:t>
      </w:r>
    </w:p>
    <w:p>
      <w:pPr>
        <w:pStyle w:val="Normal"/>
        <w:spacing w:lineRule="exact" w:line="290" w:before="0" w:after="105"/>
        <w:rPr>
          <w:color w:val="292929"/>
          <w:sz w:val="20"/>
          <w:szCs w:val="20"/>
        </w:rPr>
      </w:pPr>
      <w:r>
        <w:rPr>
          <w:color w:val="292929"/>
          <w:sz w:val="20"/>
          <w:szCs w:val="20"/>
        </w:rPr>
        <w:t>Agent Bank — the lead lender that originates and administers the facility. Goldman Sachs, JP Morgan, Subscription Finance Ltd., Cadence Bank. The agent coordinates the syndicate, receives the monthly borrowing base certificate from the GP, calculates availability, and manages draws and repayments. In a syndicated facility, the agent does this on behalf of all participating lenders.</w:t>
      </w:r>
    </w:p>
    <w:p>
      <w:pPr>
        <w:pStyle w:val="Normal"/>
        <w:spacing w:lineRule="exact" w:line="290" w:before="0" w:after="105"/>
        <w:rPr>
          <w:color w:val="292929"/>
          <w:sz w:val="20"/>
          <w:szCs w:val="20"/>
        </w:rPr>
      </w:pPr>
      <w:r>
        <w:rPr>
          <w:color w:val="292929"/>
          <w:sz w:val="20"/>
          <w:szCs w:val="20"/>
        </w:rPr>
        <w:t>Participating Lenders — banks that take a share of the facility alongside the agent. A $500M facility might have five banks each holding $100M of exposure. Each participant earns interest on its share but relies on the agent for administration. A lender like UBS may participate in dozens of sub lines across many GPs.</w:t>
      </w:r>
    </w:p>
    <w:p>
      <w:pPr>
        <w:pStyle w:val="Normal"/>
        <w:spacing w:lineRule="exact" w:line="290" w:before="0" w:after="105"/>
        <w:rPr>
          <w:color w:val="292929"/>
          <w:sz w:val="20"/>
          <w:szCs w:val="20"/>
        </w:rPr>
      </w:pPr>
      <w:r>
        <w:rPr>
          <w:color w:val="292929"/>
          <w:sz w:val="20"/>
          <w:szCs w:val="20"/>
        </w:rPr>
        <w:t>Credit Officer (CO) — the person at the lending institution responsible for underwriting and ongoing monitoring of the facility. They review the borrowing base, assess LP credit quality, flag eligibility concerns, and approve draws. In larger banks this role is supported by analysts and a supervisory layer.</w:t>
      </w:r>
    </w:p>
    <w:p>
      <w:pPr>
        <w:pStyle w:val="Heading2"/>
        <w:spacing w:before="180" w:after="100"/>
        <w:rPr>
          <w:color w:val="454545"/>
        </w:rPr>
      </w:pPr>
      <w:r>
        <w:rPr>
          <w:color w:val="454545"/>
        </w:rPr>
        <w:t>The Borrowing Base</w:t>
      </w:r>
    </w:p>
    <w:p>
      <w:pPr>
        <w:pStyle w:val="Normal"/>
        <w:spacing w:lineRule="exact" w:line="290" w:before="0" w:after="105"/>
        <w:rPr>
          <w:color w:val="292929"/>
          <w:sz w:val="20"/>
          <w:szCs w:val="20"/>
        </w:rPr>
      </w:pPr>
      <w:r>
        <w:rPr>
          <w:color w:val="292929"/>
          <w:sz w:val="20"/>
          <w:szCs w:val="20"/>
        </w:rPr>
        <w:t>The borrowing base is the calculation that determines how much the fund may have outstanding at any time. It is not the total LP commitments — it is a risk-adjusted, eligibility-filtered subset of unfunded commitments.</w:t>
      </w:r>
    </w:p>
    <w:p>
      <w:pPr>
        <w:pStyle w:val="Normal"/>
        <w:spacing w:lineRule="exact" w:line="290" w:before="0" w:after="105"/>
        <w:rPr>
          <w:color w:val="292929"/>
          <w:sz w:val="20"/>
          <w:szCs w:val="20"/>
        </w:rPr>
      </w:pPr>
      <w:r>
        <w:rPr>
          <w:color w:val="292929"/>
          <w:sz w:val="20"/>
          <w:szCs w:val="20"/>
        </w:rPr>
        <w:t>The mechanics:</w:t>
      </w:r>
    </w:p>
    <w:p>
      <w:pPr>
        <w:pStyle w:val="Normal"/>
        <w:pBdr>
          <w:left w:val="single" w:sz="20" w:space="0" w:color="454545"/>
        </w:pBdr>
        <w:shd w:val="clear" w:fill="F4F4F4"/>
        <w:spacing w:before="80" w:after="120"/>
        <w:rPr>
          <w:rFonts w:ascii="Consolas" w:hAnsi="Consolas" w:eastAsia="Consolas" w:cs="Consolas"/>
          <w:color w:val="292929"/>
          <w:sz w:val="16"/>
          <w:szCs w:val="16"/>
        </w:rPr>
      </w:pPr>
      <w:r>
        <w:rPr>
          <w:rFonts w:eastAsia="Consolas" w:cs="Consolas" w:ascii="Consolas" w:hAnsi="Consolas"/>
          <w:color w:val="292929"/>
          <w:sz w:val="16"/>
          <w:szCs w:val="16"/>
        </w:rPr>
        <w:t>For each eligible LP:   Eligible Uncalled Capital  = Unfunded Commitment  (subject to concentration cap)   LP Contribution to BB      = Eligible Uncalled × Advance Rate  Borrowing Base  = Sum of all LP Contributions Availability    = Borrowing Base  –  Current Drawings</w:t>
      </w:r>
    </w:p>
    <w:p>
      <w:pPr>
        <w:pStyle w:val="Normal"/>
        <w:spacing w:lineRule="exact" w:line="290" w:before="0" w:after="105"/>
        <w:rPr>
          <w:color w:val="292929"/>
          <w:sz w:val="20"/>
          <w:szCs w:val="20"/>
        </w:rPr>
      </w:pPr>
      <w:r>
        <w:rPr>
          <w:color w:val="292929"/>
          <w:sz w:val="20"/>
          <w:szCs w:val="20"/>
        </w:rPr>
        <w:t>Advance Rate reflects the credit quality of each LP and how confident the lender is that the LP will honor its commitment if called. Higher quality, higher rate:</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UBS LP Classification</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Advance Rate (≥40% funded)</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Rationale</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Rated Investor</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90%</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S&amp;P/Moody's/Fitch rated; highest payment certainty (concentration limit steps by rating band: AAA 25% / AA 20% / A 15% / BBB 10%)</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Corp Pension &gt; $5Bn Assets</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90%</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Corporate pension with total assets above USD 5bn</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Corp Pension &gt; $1Bn Assets</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90%</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Corporate pension with total assets USD 1–5bn</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Unrated NAV &gt; $1Bn</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90%</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Large unrated investor; NAV above USD 1bn</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FoF &amp; Other &gt; $10Bn AUM</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75%</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Fund of funds or other asset manager with AUM above USD 10bn</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Other Institutional</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65%</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Other institutional investor; higher uncertainty</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HNW Feeder (acceptable)</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65%</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High-net-worth feeder meeting acceptable criteria</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HNW (acceptable)</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50%</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Acceptable family office / HNW investor</w:t>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Excluded</w:t>
            </w:r>
          </w:p>
        </w:tc>
        <w:tc>
          <w:tcPr>
            <w:tcW w:w="3402"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0%</w:t>
            </w:r>
          </w:p>
        </w:tc>
        <w:tc>
          <w:tcPr>
            <w:tcW w:w="3402"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Does not meet eligibility criteria; not counted</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(Advance rate is not a single flat per-class figure: it is a function of (classification, % funded) with a break at 40% funded. The figures above are the ≥40%-funded "mature" rates; weaker credits step down below the threshold — e.g. Rated BBB 65%, FoF 65%, Other Inst / HNW Feeder 50%, HNW 0% — until the LP has demonstrated funding. For Rated Investor, both the advance rate and the concentration limit resolve by agency rating band. This is the Borrowing Base Criteria Matrix, editable on the Configuration screen. The 9 values are the platform's unified UBS LP classification taxonomy as of July 2026. The agent-side category labels seen as group-header rows in workbooks — Rated / Unrated / Included / Excluded Investors.</w:t>
      </w:r>
    </w:p>
    <w:p>
      <w:pPr>
        <w:pStyle w:val="Normal"/>
        <w:spacing w:lineRule="exact" w:line="290" w:before="0" w:after="105"/>
        <w:rPr>
          <w:color w:val="292929"/>
          <w:sz w:val="20"/>
          <w:szCs w:val="20"/>
        </w:rPr>
      </w:pPr>
      <w:r>
        <w:rPr>
          <w:color w:val="292929"/>
          <w:sz w:val="20"/>
          <w:szCs w:val="20"/>
        </w:rPr>
        <w:t>Concentration Limits cap how much any single LP can contribute to the borrowing base. A $500M fund with a 10% concentration limit means no LP can contribute more than $50M to availability, even if their unfunded commitment is $200M. This prevents the borrowing base from being dominated by one investor whose default would cause a facility breach.</w:t>
      </w:r>
    </w:p>
    <w:p>
      <w:pPr>
        <w:pStyle w:val="Normal"/>
        <w:spacing w:lineRule="exact" w:line="290" w:before="0" w:after="105"/>
        <w:rPr>
          <w:color w:val="292929"/>
          <w:sz w:val="20"/>
          <w:szCs w:val="20"/>
        </w:rPr>
      </w:pPr>
      <w:r>
        <w:rPr>
          <w:color w:val="292929"/>
          <w:sz w:val="20"/>
          <w:szCs w:val="20"/>
        </w:rPr>
        <w:t>Eligibility Criteria exclude LPs that pose legal or structural risk: foreign governmental entities subject to sanctions, ERISA plans in excess of the 25% "plan asset" threshold, LPs in default on their capital call obligations, LPs whose commitments are subject to legal challenge.</w:t>
      </w:r>
    </w:p>
    <w:p>
      <w:pPr>
        <w:pStyle w:val="Heading2"/>
        <w:spacing w:before="180" w:after="100"/>
        <w:rPr>
          <w:color w:val="454545"/>
        </w:rPr>
      </w:pPr>
      <w:r>
        <w:rPr>
          <w:color w:val="454545"/>
        </w:rPr>
        <w:t>The Agent Borrowing Base Certificate</w:t>
      </w:r>
    </w:p>
    <w:p>
      <w:pPr>
        <w:pStyle w:val="Normal"/>
        <w:spacing w:lineRule="exact" w:line="290" w:before="0" w:after="105"/>
        <w:rPr>
          <w:color w:val="292929"/>
          <w:sz w:val="20"/>
          <w:szCs w:val="20"/>
        </w:rPr>
      </w:pPr>
      <w:r>
        <w:rPr>
          <w:color w:val="292929"/>
          <w:sz w:val="20"/>
          <w:szCs w:val="20"/>
        </w:rPr>
        <w:t>Each month (or more frequently near fund-level covenants), the GP submits a Borrowing Base Certificate to the agent. The agent reviews it, applies their own eligibility determinations, and certifies the availability. This certificate drives how much the fund can draw.</w:t>
      </w:r>
    </w:p>
    <w:p>
      <w:pPr>
        <w:pStyle w:val="Normal"/>
        <w:spacing w:lineRule="exact" w:line="290" w:before="0" w:after="105"/>
        <w:rPr>
          <w:color w:val="292929"/>
          <w:sz w:val="20"/>
          <w:szCs w:val="20"/>
        </w:rPr>
      </w:pPr>
      <w:r>
        <w:rPr>
          <w:color w:val="292929"/>
          <w:sz w:val="20"/>
          <w:szCs w:val="20"/>
        </w:rPr>
        <w:t>The certificate lists every LP in the fund with:</w:t>
      </w:r>
    </w:p>
    <w:p>
      <w:pPr>
        <w:pStyle w:val="ListParagraph"/>
        <w:numPr>
          <w:ilvl w:val="0"/>
          <w:numId w:val="4"/>
        </w:numPr>
        <w:spacing w:before="0" w:after="55"/>
        <w:rPr>
          <w:color w:val="292929"/>
          <w:sz w:val="20"/>
          <w:szCs w:val="20"/>
        </w:rPr>
      </w:pPr>
      <w:r>
        <w:rPr>
          <w:color w:val="292929"/>
          <w:sz w:val="20"/>
          <w:szCs w:val="20"/>
        </w:rPr>
        <w:t>Investor name (as recorded by the agent)</w:t>
      </w:r>
    </w:p>
    <w:p>
      <w:pPr>
        <w:pStyle w:val="ListParagraph"/>
        <w:numPr>
          <w:ilvl w:val="0"/>
          <w:numId w:val="1"/>
        </w:numPr>
        <w:spacing w:before="0" w:after="55"/>
        <w:rPr>
          <w:color w:val="292929"/>
          <w:sz w:val="20"/>
          <w:szCs w:val="20"/>
        </w:rPr>
      </w:pPr>
      <w:r>
        <w:rPr>
          <w:color w:val="292929"/>
          <w:sz w:val="20"/>
          <w:szCs w:val="20"/>
        </w:rPr>
        <w:t>Total commitment and amount called to date</w:t>
      </w:r>
    </w:p>
    <w:p>
      <w:pPr>
        <w:pStyle w:val="ListParagraph"/>
        <w:numPr>
          <w:ilvl w:val="0"/>
          <w:numId w:val="1"/>
        </w:numPr>
        <w:spacing w:before="0" w:after="55"/>
        <w:rPr>
          <w:color w:val="292929"/>
          <w:sz w:val="20"/>
          <w:szCs w:val="20"/>
        </w:rPr>
      </w:pPr>
      <w:r>
        <w:rPr>
          <w:color w:val="292929"/>
          <w:sz w:val="20"/>
          <w:szCs w:val="20"/>
        </w:rPr>
        <w:t>Unfunded (uncalled) commitment</w:t>
      </w:r>
    </w:p>
    <w:p>
      <w:pPr>
        <w:pStyle w:val="ListParagraph"/>
        <w:numPr>
          <w:ilvl w:val="0"/>
          <w:numId w:val="1"/>
        </w:numPr>
        <w:spacing w:before="0" w:after="55"/>
        <w:rPr>
          <w:color w:val="292929"/>
          <w:sz w:val="20"/>
          <w:szCs w:val="20"/>
        </w:rPr>
      </w:pPr>
      <w:r>
        <w:rPr>
          <w:color w:val="292929"/>
          <w:sz w:val="20"/>
          <w:szCs w:val="20"/>
        </w:rPr>
        <w:t>LP classification as the agent sees it</w:t>
      </w:r>
    </w:p>
    <w:p>
      <w:pPr>
        <w:pStyle w:val="ListParagraph"/>
        <w:numPr>
          <w:ilvl w:val="0"/>
          <w:numId w:val="1"/>
        </w:numPr>
        <w:spacing w:before="0" w:after="55"/>
        <w:rPr>
          <w:color w:val="292929"/>
          <w:sz w:val="20"/>
          <w:szCs w:val="20"/>
        </w:rPr>
      </w:pPr>
      <w:r>
        <w:rPr>
          <w:color w:val="292929"/>
          <w:sz w:val="20"/>
          <w:szCs w:val="20"/>
        </w:rPr>
        <w:t>Applied advance rate</w:t>
      </w:r>
    </w:p>
    <w:p>
      <w:pPr>
        <w:pStyle w:val="ListParagraph"/>
        <w:numPr>
          <w:ilvl w:val="0"/>
          <w:numId w:val="1"/>
        </w:numPr>
        <w:spacing w:before="0" w:after="55"/>
        <w:rPr>
          <w:color w:val="292929"/>
          <w:sz w:val="20"/>
          <w:szCs w:val="20"/>
        </w:rPr>
      </w:pPr>
      <w:r>
        <w:rPr>
          <w:color w:val="292929"/>
          <w:sz w:val="20"/>
          <w:szCs w:val="20"/>
        </w:rPr>
        <w:t>LP-level borrowing base contribution (Uncalled Capital × Advance Rate)</w:t>
      </w:r>
    </w:p>
    <w:p>
      <w:pPr>
        <w:pStyle w:val="ListParagraph"/>
        <w:numPr>
          <w:ilvl w:val="0"/>
          <w:numId w:val="1"/>
        </w:numPr>
        <w:spacing w:before="0" w:after="55"/>
        <w:rPr>
          <w:color w:val="292929"/>
          <w:sz w:val="20"/>
          <w:szCs w:val="20"/>
        </w:rPr>
      </w:pPr>
      <w:r>
        <w:rPr>
          <w:color w:val="292929"/>
          <w:sz w:val="20"/>
          <w:szCs w:val="20"/>
        </w:rPr>
        <w:t>Concentration limit and any excess excluded</w:t>
      </w:r>
    </w:p>
    <w:p>
      <w:pPr>
        <w:pStyle w:val="ListParagraph"/>
        <w:numPr>
          <w:ilvl w:val="0"/>
          <w:numId w:val="1"/>
        </w:numPr>
        <w:spacing w:before="0" w:after="55"/>
        <w:rPr>
          <w:color w:val="292929"/>
          <w:sz w:val="20"/>
          <w:szCs w:val="20"/>
        </w:rPr>
      </w:pPr>
      <w:r>
        <w:rPr>
          <w:color w:val="292929"/>
          <w:sz w:val="20"/>
          <w:szCs w:val="20"/>
        </w:rPr>
        <w:t>Total facility availability</w:t>
      </w:r>
    </w:p>
    <w:p>
      <w:pPr>
        <w:pStyle w:val="Normal"/>
        <w:spacing w:lineRule="exact" w:line="290" w:before="0" w:after="105"/>
        <w:rPr>
          <w:color w:val="292929"/>
          <w:sz w:val="20"/>
          <w:szCs w:val="20"/>
        </w:rPr>
      </w:pPr>
      <w:r>
        <w:rPr>
          <w:color w:val="292929"/>
          <w:sz w:val="20"/>
          <w:szCs w:val="20"/>
        </w:rPr>
        <w:t>This is the Excel file that arrives from Goldman Sachs — formatted by their prime services team, using their internal naming conventions, sometimes combining or splitting LP records in ways that don't perfectly match the lender's own LP Master database.</w:t>
      </w:r>
    </w:p>
    <w:p>
      <w:pPr>
        <w:pStyle w:val="Normal"/>
        <w:spacing w:lineRule="exact" w:line="290" w:before="0" w:after="105"/>
        <w:rPr>
          <w:color w:val="292929"/>
          <w:sz w:val="20"/>
          <w:szCs w:val="20"/>
        </w:rPr>
      </w:pPr>
      <w:r>
        <w:rPr>
          <w:b/>
          <w:bCs/>
        </w:rPr>
      </w:r>
    </w:p>
    <w:p>
      <w:pPr>
        <w:pStyle w:val="Normal"/>
        <w:spacing w:lineRule="exact" w:line="290" w:before="0" w:after="105"/>
        <w:rPr>
          <w:color w:val="292929"/>
          <w:sz w:val="20"/>
          <w:szCs w:val="20"/>
        </w:rPr>
      </w:pPr>
      <w:r>
        <w:rPr>
          <w:b/>
          <w:bCs/>
          <w:color w:val="292929"/>
          <w:sz w:val="20"/>
          <w:szCs w:val="20"/>
        </w:rPr>
        <w:t>Multi-Tab Workbook Structure</w:t>
      </w:r>
    </w:p>
    <w:p>
      <w:pPr>
        <w:pStyle w:val="Normal"/>
        <w:spacing w:lineRule="exact" w:line="290" w:before="0" w:after="105"/>
        <w:rPr>
          <w:color w:val="292929"/>
          <w:sz w:val="20"/>
          <w:szCs w:val="20"/>
        </w:rPr>
      </w:pPr>
      <w:r>
        <w:rPr>
          <w:color w:val="292929"/>
          <w:sz w:val="20"/>
          <w:szCs w:val="20"/>
        </w:rPr>
        <w:t>Agent BB workbooks are typically multi-tab Excel files following a four-tab industry standard:</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Tab</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Role</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Contents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Master Certificate</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TOP_SHEET</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Executed cover page: borrowing base totals, availability calculation, officer sign-offs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LP Grid &amp; Advance Rate Calculator</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LP_GRID</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One row per LP — commitment, uncalled capital, LP classification, advance rate, BB contribution, concentration limit</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Concentration Caps &amp; Haircuts</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CONCENTRATION</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Aggregate concentration tests by LP type, geography, and fund; haircut computations</w:t>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Capital Call &amp; Roll-Forward Log</w:t>
            </w:r>
          </w:p>
        </w:tc>
        <w:tc>
          <w:tcPr>
            <w:tcW w:w="3402"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CAPITAL_CALL</w:t>
            </w:r>
          </w:p>
        </w:tc>
        <w:tc>
          <w:tcPr>
            <w:tcW w:w="3402"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History of capital calls drawn and repaid; reconciles outstanding balance</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The LP Grid tab is the primary extraction target. The platform identifies the correct tab by role, locates the header row, and skips summary/subtotal rows automatically.</w:t>
      </w:r>
    </w:p>
    <w:p>
      <w:pPr>
        <w:pStyle w:val="Normal"/>
        <w:spacing w:lineRule="exact" w:line="290" w:before="0" w:after="105"/>
        <w:rPr>
          <w:color w:val="292929"/>
          <w:sz w:val="20"/>
          <w:szCs w:val="20"/>
        </w:rPr>
      </w:pPr>
      <w:r>
        <w:rPr>
          <w:b/>
          <w:bCs/>
          <w:color w:val="292929"/>
          <w:sz w:val="20"/>
          <w:szCs w:val="20"/>
        </w:rPr>
        <w:t>LP Grid Format Diversity</w:t>
      </w:r>
    </w:p>
    <w:p>
      <w:pPr>
        <w:pStyle w:val="Normal"/>
        <w:spacing w:lineRule="exact" w:line="290" w:before="0" w:after="105"/>
        <w:rPr>
          <w:color w:val="292929"/>
          <w:sz w:val="20"/>
          <w:szCs w:val="20"/>
        </w:rPr>
      </w:pPr>
      <w:r>
        <w:rPr>
          <w:color w:val="292929"/>
          <w:sz w:val="20"/>
          <w:szCs w:val="20"/>
        </w:rPr>
        <w:t>Different agent banks use different column headers, row structures, and classification schemes for the same underlying data. Key variations:</w:t>
      </w:r>
    </w:p>
    <w:p>
      <w:pPr>
        <w:pStyle w:val="ListParagraph"/>
        <w:numPr>
          <w:ilvl w:val="0"/>
          <w:numId w:val="1"/>
        </w:numPr>
        <w:spacing w:before="0" w:after="55"/>
        <w:rPr>
          <w:color w:val="292929"/>
          <w:sz w:val="20"/>
          <w:szCs w:val="20"/>
        </w:rPr>
      </w:pPr>
      <w:r>
        <w:rPr>
          <w:color w:val="292929"/>
          <w:sz w:val="20"/>
          <w:szCs w:val="20"/>
        </w:rPr>
        <w:t>Column naming — Goldman Sachs uses "Borrowing Base Contribution"; SVB uses "Remaining Callable Capital" for uncalled capital; BNY uses "Individual Unfunded Commitment"</w:t>
      </w:r>
    </w:p>
    <w:p>
      <w:pPr>
        <w:pStyle w:val="ListParagraph"/>
        <w:numPr>
          <w:ilvl w:val="0"/>
          <w:numId w:val="1"/>
        </w:numPr>
        <w:spacing w:before="0" w:after="55"/>
        <w:rPr>
          <w:color w:val="292929"/>
          <w:sz w:val="20"/>
          <w:szCs w:val="20"/>
        </w:rPr>
      </w:pPr>
      <w:r>
        <w:rPr>
          <w:color w:val="292929"/>
          <w:sz w:val="20"/>
          <w:szCs w:val="20"/>
        </w:rPr>
        <w:t>Group-header rows — Goldman-style workbooks interleave classification headers (Rated Investors, Unrated Investors, Included Investors, Excluded Investors) between LP data rows rather than providing a classification column. The extraction engine uses these as sticky context — when a group-header row is encountered, subsequent LP rows inherit its classification until the next header</w:t>
      </w:r>
    </w:p>
    <w:p>
      <w:pPr>
        <w:pStyle w:val="ListParagraph"/>
        <w:numPr>
          <w:ilvl w:val="0"/>
          <w:numId w:val="1"/>
        </w:numPr>
        <w:spacing w:before="0" w:after="55"/>
        <w:rPr>
          <w:color w:val="292929"/>
          <w:sz w:val="20"/>
          <w:szCs w:val="20"/>
        </w:rPr>
      </w:pPr>
      <w:r>
        <w:rPr>
          <w:color w:val="292929"/>
          <w:sz w:val="20"/>
          <w:szCs w:val="20"/>
        </w:rPr>
        <w:t>LP Classification column — Wells Fargo and some other banks provide LP classification as a dedicated column; no group-header rows needed</w:t>
      </w:r>
    </w:p>
    <w:p>
      <w:pPr>
        <w:pStyle w:val="ListParagraph"/>
        <w:numPr>
          <w:ilvl w:val="0"/>
          <w:numId w:val="1"/>
        </w:numPr>
        <w:spacing w:before="0" w:after="55"/>
        <w:rPr>
          <w:color w:val="292929"/>
          <w:sz w:val="20"/>
          <w:szCs w:val="20"/>
        </w:rPr>
      </w:pPr>
      <w:r>
        <w:rPr>
          <w:color w:val="292929"/>
          <w:sz w:val="20"/>
          <w:szCs w:val="20"/>
        </w:rPr>
        <w:t>Summary rows — SVB workbooks place two summary rows above the column header row; Goldman workbooks place subtotal rows between classification groups. These are identified by keyword matching (Total, Subtotal, Grand Total, etc.) and discarded</w:t>
      </w:r>
    </w:p>
    <w:p>
      <w:pPr>
        <w:pStyle w:val="ListParagraph"/>
        <w:numPr>
          <w:ilvl w:val="0"/>
          <w:numId w:val="1"/>
        </w:numPr>
        <w:spacing w:before="0" w:after="55"/>
        <w:rPr>
          <w:color w:val="292929"/>
          <w:sz w:val="20"/>
          <w:szCs w:val="20"/>
        </w:rPr>
      </w:pPr>
      <w:r>
        <w:rPr>
          <w:color w:val="292929"/>
          <w:sz w:val="20"/>
          <w:szCs w:val="20"/>
        </w:rPr>
        <w:t>Tranche structure — facilities with Tranche A / Tranche B structures may carry separate advance rate and concentration columns per tranche</w:t>
      </w:r>
    </w:p>
    <w:p>
      <w:pPr>
        <w:pStyle w:val="Heading2"/>
        <w:spacing w:before="180" w:after="100"/>
        <w:rPr>
          <w:color w:val="454545"/>
        </w:rPr>
      </w:pPr>
      <w:r>
        <w:rPr>
          <w:color w:val="454545"/>
        </w:rPr>
        <w:t>The Shadow Borrowing Base</w:t>
      </w:r>
    </w:p>
    <w:p>
      <w:pPr>
        <w:pStyle w:val="Normal"/>
        <w:spacing w:lineRule="exact" w:line="290" w:before="0" w:after="105"/>
        <w:rPr>
          <w:color w:val="292929"/>
          <w:sz w:val="20"/>
          <w:szCs w:val="20"/>
        </w:rPr>
      </w:pPr>
      <w:r>
        <w:rPr>
          <w:color w:val="292929"/>
          <w:sz w:val="20"/>
          <w:szCs w:val="20"/>
        </w:rPr>
        <w:t>A participating lender does not simply accept the agent's certificate. They calculate their own Shadow Borrowing Base independently. The shadow BB uses the lender's own:</w:t>
      </w:r>
    </w:p>
    <w:p>
      <w:pPr>
        <w:pStyle w:val="ListParagraph"/>
        <w:numPr>
          <w:ilvl w:val="0"/>
          <w:numId w:val="1"/>
        </w:numPr>
        <w:spacing w:before="0" w:after="55"/>
        <w:rPr>
          <w:color w:val="292929"/>
          <w:sz w:val="20"/>
          <w:szCs w:val="20"/>
        </w:rPr>
      </w:pPr>
      <w:r>
        <w:rPr>
          <w:color w:val="292929"/>
          <w:sz w:val="20"/>
          <w:szCs w:val="20"/>
        </w:rPr>
        <w:t>LP Master database — their authoritative record of LP identity, classification, and credit quality</w:t>
      </w:r>
    </w:p>
    <w:p>
      <w:pPr>
        <w:pStyle w:val="ListParagraph"/>
        <w:numPr>
          <w:ilvl w:val="0"/>
          <w:numId w:val="1"/>
        </w:numPr>
        <w:spacing w:before="0" w:after="55"/>
        <w:rPr>
          <w:color w:val="292929"/>
          <w:sz w:val="20"/>
          <w:szCs w:val="20"/>
        </w:rPr>
      </w:pPr>
      <w:r>
        <w:rPr>
          <w:color w:val="292929"/>
          <w:sz w:val="20"/>
          <w:szCs w:val="20"/>
        </w:rPr>
        <w:t>Eligibility rules — which may differ from the agent's on certain LP types</w:t>
      </w:r>
    </w:p>
    <w:p>
      <w:pPr>
        <w:pStyle w:val="ListParagraph"/>
        <w:numPr>
          <w:ilvl w:val="0"/>
          <w:numId w:val="1"/>
        </w:numPr>
        <w:spacing w:before="0" w:after="55"/>
        <w:rPr>
          <w:color w:val="292929"/>
          <w:sz w:val="20"/>
          <w:szCs w:val="20"/>
        </w:rPr>
      </w:pPr>
      <w:r>
        <w:rPr>
          <w:color w:val="292929"/>
          <w:sz w:val="20"/>
          <w:szCs w:val="20"/>
        </w:rPr>
        <w:t>Advance rates — the agent's rates and the lender's rates often diverge, especially for unrated LPs</w:t>
      </w:r>
    </w:p>
    <w:p>
      <w:pPr>
        <w:pStyle w:val="ListParagraph"/>
        <w:numPr>
          <w:ilvl w:val="0"/>
          <w:numId w:val="1"/>
        </w:numPr>
        <w:spacing w:before="0" w:after="55"/>
        <w:rPr>
          <w:color w:val="292929"/>
          <w:sz w:val="20"/>
          <w:szCs w:val="20"/>
        </w:rPr>
      </w:pPr>
      <w:r>
        <w:rPr>
          <w:color w:val="292929"/>
          <w:sz w:val="20"/>
          <w:szCs w:val="20"/>
        </w:rPr>
        <w:t>Concentration limits — the lender may apply tighter per-LP caps than the agent</w:t>
      </w:r>
    </w:p>
    <w:p>
      <w:pPr>
        <w:pStyle w:val="Normal"/>
        <w:spacing w:lineRule="exact" w:line="290" w:before="0" w:after="105"/>
        <w:rPr>
          <w:color w:val="292929"/>
          <w:sz w:val="20"/>
          <w:szCs w:val="20"/>
        </w:rPr>
      </w:pPr>
      <w:r>
        <w:rPr>
          <w:color w:val="292929"/>
          <w:sz w:val="20"/>
          <w:szCs w:val="20"/>
        </w:rPr>
        <w:t>The delta (agent BB minus shadow BB) tells the lender whether the agent is overstating or understating availability. Persistent positive delta — agent claiming more availability than the lender calculates — is a credit concern. It may indicate the agent is using looser eligibility standards, classifying LPs more favorably, or applying higher advance rates than the lender's credit agreement permits.</w:t>
      </w:r>
    </w:p>
    <w:p>
      <w:pPr>
        <w:pStyle w:val="Normal"/>
        <w:spacing w:lineRule="exact" w:line="290" w:before="0" w:after="105"/>
        <w:rPr>
          <w:color w:val="292929"/>
          <w:sz w:val="20"/>
          <w:szCs w:val="20"/>
        </w:rPr>
      </w:pPr>
      <w:r>
        <w:rPr>
          <w:color w:val="292929"/>
          <w:sz w:val="20"/>
          <w:szCs w:val="20"/>
        </w:rPr>
        <w:t>Monitoring the delta across monthly submissions, tracking which LPs are classified differently and why, is a core part of credit officer work on sub line portfolios.</w:t>
      </w:r>
    </w:p>
    <w:p>
      <w:pPr>
        <w:pStyle w:val="Heading2"/>
        <w:spacing w:before="180" w:after="100"/>
        <w:rPr>
          <w:color w:val="454545"/>
        </w:rPr>
      </w:pPr>
      <w:r>
        <w:rPr>
          <w:color w:val="454545"/>
        </w:rPr>
        <w:t>The LP Name Matching Problem</w:t>
      </w:r>
    </w:p>
    <w:p>
      <w:pPr>
        <w:pStyle w:val="Normal"/>
        <w:spacing w:lineRule="exact" w:line="290" w:before="0" w:after="105"/>
        <w:rPr>
          <w:color w:val="292929"/>
          <w:sz w:val="20"/>
          <w:szCs w:val="20"/>
        </w:rPr>
      </w:pPr>
      <w:r>
        <w:rPr>
          <w:color w:val="292929"/>
          <w:sz w:val="20"/>
          <w:szCs w:val="20"/>
        </w:rPr>
        <w:t>The delta often begins with a naming problem. The agent records an LP as "CalPERS". The lender's LP Master has "California Public Employees Retirement System". If the credit officer cannot link those two records, the LP may be treated as unknown — excluded from the shadow BB by default — creating an artificial delta that suggests a problem where none exists.</w:t>
      </w:r>
    </w:p>
    <w:p>
      <w:pPr>
        <w:pStyle w:val="Normal"/>
        <w:spacing w:lineRule="exact" w:line="290" w:before="0" w:after="105"/>
        <w:rPr>
          <w:color w:val="292929"/>
          <w:sz w:val="20"/>
          <w:szCs w:val="20"/>
        </w:rPr>
      </w:pPr>
      <w:r>
        <w:rPr>
          <w:color w:val="292929"/>
          <w:sz w:val="20"/>
          <w:szCs w:val="20"/>
        </w:rPr>
        <w:t>At scale this is not trivial. A fund with 900 LPs submitting monthly means 900 name-matching decisions, every month, against a master database of thousands of LPs across dozens of funds. The names arrive from banks that have their own abbreviation standards, OCR-processed from scanned documents, or typed by operations staff. Variations are not exceptions — they are the norm:</w:t>
      </w:r>
    </w:p>
    <w:p>
      <w:pPr>
        <w:pStyle w:val="ListParagraph"/>
        <w:numPr>
          <w:ilvl w:val="0"/>
          <w:numId w:val="1"/>
        </w:numPr>
        <w:spacing w:before="0" w:after="55"/>
        <w:rPr>
          <w:color w:val="292929"/>
          <w:sz w:val="20"/>
          <w:szCs w:val="20"/>
        </w:rPr>
      </w:pPr>
      <w:r>
        <w:rPr>
          <w:color w:val="292929"/>
          <w:sz w:val="20"/>
          <w:szCs w:val="20"/>
        </w:rPr>
        <w:t>"Teachers' Retirement System of Texas" vs "Texas Teachers Ret. Sys."</w:t>
      </w:r>
    </w:p>
    <w:p>
      <w:pPr>
        <w:pStyle w:val="ListParagraph"/>
        <w:numPr>
          <w:ilvl w:val="0"/>
          <w:numId w:val="1"/>
        </w:numPr>
        <w:spacing w:before="0" w:after="55"/>
        <w:rPr>
          <w:color w:val="292929"/>
          <w:sz w:val="20"/>
          <w:szCs w:val="20"/>
        </w:rPr>
      </w:pPr>
      <w:r>
        <w:rPr>
          <w:color w:val="292929"/>
          <w:sz w:val="20"/>
          <w:szCs w:val="20"/>
        </w:rPr>
        <w:t>"Abu Dhabi Investment Authority" vs "ADIA"</w:t>
      </w:r>
    </w:p>
    <w:p>
      <w:pPr>
        <w:pStyle w:val="ListParagraph"/>
        <w:numPr>
          <w:ilvl w:val="0"/>
          <w:numId w:val="1"/>
        </w:numPr>
        <w:spacing w:before="0" w:after="55"/>
        <w:rPr>
          <w:color w:val="292929"/>
          <w:sz w:val="20"/>
          <w:szCs w:val="20"/>
        </w:rPr>
      </w:pPr>
      <w:r>
        <w:rPr>
          <w:color w:val="292929"/>
          <w:sz w:val="20"/>
          <w:szCs w:val="20"/>
        </w:rPr>
        <w:t>"Canada Pension Plan Investment Board" vs "CPPIB"</w:t>
      </w:r>
    </w:p>
    <w:p>
      <w:pPr>
        <w:pStyle w:val="ListParagraph"/>
        <w:numPr>
          <w:ilvl w:val="0"/>
          <w:numId w:val="1"/>
        </w:numPr>
        <w:spacing w:before="0" w:after="55"/>
        <w:rPr>
          <w:color w:val="292929"/>
          <w:sz w:val="20"/>
          <w:szCs w:val="20"/>
        </w:rPr>
      </w:pPr>
      <w:r>
        <w:rPr>
          <w:color w:val="292929"/>
          <w:sz w:val="20"/>
          <w:szCs w:val="20"/>
        </w:rPr>
        <w:t>"Trustees of Princeton University" vs "Princeton University Endowment"</w:t>
      </w:r>
    </w:p>
    <w:p>
      <w:pPr>
        <w:pStyle w:val="Normal"/>
        <w:spacing w:lineRule="exact" w:line="290" w:before="0" w:after="105"/>
        <w:rPr>
          <w:color w:val="292929"/>
          <w:sz w:val="20"/>
          <w:szCs w:val="20"/>
        </w:rPr>
      </w:pPr>
      <w:r>
        <w:rPr>
          <w:color w:val="292929"/>
          <w:sz w:val="20"/>
          <w:szCs w:val="20"/>
        </w:rPr>
        <w:t>Manual matching at this scale is slow and error-prone. A missed match means an LP gets excluded from the shadow BB, understating availability and potentially triggering unnecessary credit reviews. An incorrect match — linking the wrong LP records — means the shadow BB is calculated against the wrong credit profile, potentially with the wrong advance rate applied.</w:t>
      </w:r>
    </w:p>
    <w:p>
      <w:pPr>
        <w:pStyle w:val="Heading2"/>
        <w:spacing w:before="180" w:after="100"/>
        <w:rPr>
          <w:color w:val="454545"/>
        </w:rPr>
      </w:pPr>
      <w:r>
        <w:rPr>
          <w:color w:val="454545"/>
        </w:rPr>
        <w:t>Why It Matters: Risk and Revenue</w:t>
      </w:r>
    </w:p>
    <w:p>
      <w:pPr>
        <w:pStyle w:val="Normal"/>
        <w:spacing w:lineRule="exact" w:line="290" w:before="0" w:after="105"/>
        <w:rPr>
          <w:color w:val="292929"/>
          <w:sz w:val="20"/>
          <w:szCs w:val="20"/>
        </w:rPr>
      </w:pPr>
      <w:r>
        <w:rPr>
          <w:color w:val="292929"/>
          <w:sz w:val="20"/>
          <w:szCs w:val="20"/>
        </w:rPr>
        <w:t>From a risk perspective, the sub line is unusual collateral. If the GP defaults, the lender must issue a capital call directly to LPs. Whether LPs fund that call — and how quickly — depends entirely on the quality and legal standing of each LP's commitment. A borrowing base filled with ERISA-challenged pension funds, foreign entities under sanctions review, or LPs that have historically been slow to fund is materially riskier than a BB dominated by AAA-rated sovereign wealth funds. Getting classification right is a credit underwriting question, not just an administrative one.</w:t>
      </w:r>
    </w:p>
    <w:p>
      <w:pPr>
        <w:pStyle w:val="Normal"/>
        <w:spacing w:lineRule="exact" w:line="290" w:before="0" w:after="105"/>
        <w:rPr>
          <w:color w:val="292929"/>
          <w:sz w:val="20"/>
          <w:szCs w:val="20"/>
        </w:rPr>
      </w:pPr>
      <w:r>
        <w:rPr>
          <w:color w:val="292929"/>
          <w:sz w:val="20"/>
          <w:szCs w:val="20"/>
        </w:rPr>
        <w:t>From a revenue perspective, sub lines are attractive bank business: short-duration, self-liquidating, relationship-sticky. A bank that administers the facility earns agent fees on top of spread. Participating lenders earn clean interest income with minimal credit losses historically — LP defaults on sub line capital calls are extremely rare. But the margins are thin, which means the operational cost of monitoring matters. Credit officers manually reconciling BB certificates against LP Master records every month is expensive. Automating that process — the core proposition of the PE Sub Platform — directly improves the economics.</w:t>
      </w:r>
    </w:p>
    <w:p>
      <w:pPr>
        <w:pStyle w:val="Heading2"/>
        <w:spacing w:before="180" w:after="100"/>
        <w:rPr>
          <w:color w:val="454545"/>
        </w:rPr>
      </w:pPr>
      <w:r>
        <w:rPr>
          <w:color w:val="454545"/>
        </w:rPr>
        <w:t>How the PE Sub Platform Fits</w:t>
      </w:r>
    </w:p>
    <w:p>
      <w:pPr>
        <w:pStyle w:val="Normal"/>
        <w:spacing w:lineRule="exact" w:line="290" w:before="0" w:after="105"/>
        <w:rPr>
          <w:color w:val="292929"/>
          <w:sz w:val="20"/>
          <w:szCs w:val="20"/>
        </w:rPr>
      </w:pPr>
      <w:r>
        <w:rPr>
          <w:color w:val="292929"/>
          <w:sz w:val="20"/>
          <w:szCs w:val="20"/>
        </w:rPr>
        <w:t>The platform addresses the three highest-friction points in the monthly sub line monitoring cycle:</w:t>
      </w:r>
    </w:p>
    <w:p>
      <w:pPr>
        <w:pStyle w:val="Normal"/>
        <w:spacing w:lineRule="exact" w:line="290" w:before="0" w:after="105"/>
        <w:rPr/>
      </w:pPr>
      <w:r>
        <w:rPr>
          <w:color w:val="292929"/>
          <w:sz w:val="20"/>
          <w:szCs w:val="20"/>
        </w:rPr>
        <w:t xml:space="preserve">1. </w:t>
      </w:r>
      <w:r>
        <w:rPr>
          <w:b/>
          <w:bCs/>
          <w:color w:val="292929"/>
          <w:sz w:val="20"/>
          <w:szCs w:val="20"/>
        </w:rPr>
        <w:t>Extraction</w:t>
      </w:r>
      <w:r>
        <w:rPr>
          <w:color w:val="292929"/>
          <w:sz w:val="20"/>
          <w:szCs w:val="20"/>
        </w:rPr>
        <w:t xml:space="preserve"> — The agent's Excel arrives in whatever format Goldman Sachs, JP Morgan, or Cadence Bank uses this month. The platform identifies the LP Grid tab, locates the header row, resolves group-header rows (Rated / Unrated / Included / Excluded) to LP classifications, skips subtotal rows, and maps each column to a canonical field name via the Field Mapping Dictionary. Fields the workbook omits (Called Capital, % of Capital Commitments, Concentration %, Excess Concentration %) are computed per sleeve and marked Derived: for cross-check — never treated as agent-reported inputs.</w:t>
      </w:r>
    </w:p>
    <w:p>
      <w:pPr>
        <w:pStyle w:val="Normal"/>
        <w:spacing w:lineRule="exact" w:line="290" w:before="0" w:after="105"/>
        <w:rPr/>
      </w:pPr>
      <w:r>
        <w:rPr>
          <w:color w:val="292929"/>
          <w:sz w:val="20"/>
          <w:szCs w:val="20"/>
        </w:rPr>
        <w:t xml:space="preserve">2. </w:t>
      </w:r>
      <w:r>
        <w:rPr>
          <w:b/>
          <w:bCs/>
          <w:color w:val="292929"/>
          <w:sz w:val="20"/>
          <w:szCs w:val="20"/>
        </w:rPr>
        <w:t>LP Name Matching</w:t>
      </w:r>
      <w:r>
        <w:rPr>
          <w:color w:val="292929"/>
          <w:sz w:val="20"/>
          <w:szCs w:val="20"/>
        </w:rPr>
        <w:t xml:space="preserve"> — Jaro-Winkler and Levenshtein similarity algorithms score each agent LP name against the LP Master. High-confidence matches (≥95%) are auto-accepted without credit officer intervention. The remaining matches go to a review queue where the CO sees the algorithm's reasoning — which name normalization steps were applied, what the competing candidates scored, why the top match was selected — and accepts or rejects with one click.</w:t>
      </w:r>
    </w:p>
    <w:p>
      <w:pPr>
        <w:pStyle w:val="Normal"/>
        <w:spacing w:lineRule="exact" w:line="290" w:before="0" w:after="105"/>
        <w:rPr/>
      </w:pPr>
      <w:r>
        <w:rPr>
          <w:color w:val="292929"/>
          <w:sz w:val="20"/>
          <w:szCs w:val="20"/>
        </w:rPr>
        <w:t xml:space="preserve">3. </w:t>
      </w:r>
      <w:r>
        <w:rPr>
          <w:b/>
          <w:bCs/>
          <w:color w:val="292929"/>
          <w:sz w:val="20"/>
          <w:szCs w:val="20"/>
        </w:rPr>
        <w:t>Shadow BB Calculation</w:t>
      </w:r>
      <w:r>
        <w:rPr>
          <w:color w:val="292929"/>
          <w:sz w:val="20"/>
          <w:szCs w:val="20"/>
        </w:rPr>
        <w:t xml:space="preserve"> — Once LPs are matched and classified, the platform applies the lender's own advance rates, concentration limits, and eligibility rules to produce the shadow BB. The delta against the agent's numbers is immediately visible at both the portfolio level and per-LP level, with classification differences highlighted.</w:t>
      </w:r>
    </w:p>
    <w:p>
      <w:pPr>
        <w:pStyle w:val="Normal"/>
        <w:spacing w:lineRule="exact" w:line="290" w:before="0" w:after="105"/>
        <w:rPr>
          <w:color w:val="292929"/>
          <w:sz w:val="20"/>
          <w:szCs w:val="20"/>
        </w:rPr>
      </w:pPr>
      <w:r>
        <w:rPr>
          <w:color w:val="292929"/>
          <w:sz w:val="20"/>
          <w:szCs w:val="20"/>
        </w:rPr>
        <w:t>What previously took a credit officer two to three days per submission — downloading the Excel, running VLOOKUP matching, manually reviewing unmatched names, rebuilding the BB model — becomes an afternoon workflow, with an audit trail of every decision made along the way.</w:t>
      </w:r>
    </w:p>
    <w:p>
      <w:pPr>
        <w:pStyle w:val="Normal"/>
        <w:spacing w:lineRule="exact" w:line="290" w:before="0" w:after="105"/>
        <w:rPr>
          <w:color w:val="292929"/>
          <w:sz w:val="20"/>
          <w:szCs w:val="20"/>
        </w:rPr>
      </w:pPr>
      <w:r>
        <w:rPr>
          <w:color w:val="292929"/>
          <w:sz w:val="20"/>
          <w:szCs w:val="20"/>
        </w:rPr>
        <w:t>---</w:t>
      </w:r>
    </w:p>
    <w:p>
      <w:pPr>
        <w:pStyle w:val="Normal"/>
        <w:rPr/>
      </w:pPr>
      <w:r>
        <w:rPr/>
      </w:r>
      <w:r>
        <w:br w:type="page"/>
      </w:r>
    </w:p>
    <w:p>
      <w:pPr>
        <w:pStyle w:val="Heading1"/>
        <w:pBdr>
          <w:bottom w:val="single" w:sz="8" w:space="0" w:color="C00000"/>
        </w:pBdr>
        <w:spacing w:before="260" w:after="100"/>
        <w:rPr>
          <w:color w:val="292929"/>
        </w:rPr>
      </w:pPr>
      <w:r>
        <w:rPr>
          <w:color w:val="292929"/>
        </w:rPr>
        <w:t>1. Repositories</w:t>
      </w:r>
    </w:p>
    <w:tbl>
      <w:tblPr>
        <w:tblW w:w="10209" w:type="dxa"/>
        <w:jc w:val="left"/>
        <w:tblInd w:w="0" w:type="dxa"/>
        <w:tblLayout w:type="fixed"/>
        <w:tblCellMar>
          <w:top w:w="80" w:type="dxa"/>
          <w:left w:w="100" w:type="dxa"/>
          <w:bottom w:w="80" w:type="dxa"/>
          <w:right w:w="100" w:type="dxa"/>
        </w:tblCellMar>
      </w:tblPr>
      <w:tblGrid>
        <w:gridCol w:w="4322"/>
        <w:gridCol w:w="5887"/>
      </w:tblGrid>
      <w:tr>
        <w:trPr>
          <w:tblHeader w:val="true"/>
          <w:cantSplit w:val="true"/>
        </w:trPr>
        <w:tc>
          <w:tcPr>
            <w:tcW w:w="432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Repo</w:t>
            </w:r>
          </w:p>
        </w:tc>
        <w:tc>
          <w:tcPr>
            <w:tcW w:w="5887"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Purpose</w:t>
            </w:r>
          </w:p>
        </w:tc>
      </w:tr>
      <w:tr>
        <w:trPr>
          <w:cantSplit w:val="true"/>
        </w:trPr>
        <w:tc>
          <w:tcPr>
            <w:tcW w:w="432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pe-sub-ui</w:t>
            </w:r>
          </w:p>
        </w:tc>
        <w:tc>
          <w:tcPr>
            <w:tcW w:w="5887"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React / TypeScript / Vite frontend. Domain types (LP, Facility, BBResult, etc.) live in src/types/</w:t>
            </w:r>
          </w:p>
        </w:tc>
      </w:tr>
      <w:tr>
        <w:trPr>
          <w:cantSplit w:val="true"/>
        </w:trPr>
        <w:tc>
          <w:tcPr>
            <w:tcW w:w="432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pe-sub-api</w:t>
            </w:r>
          </w:p>
        </w:tc>
        <w:tc>
          <w:tcPr>
            <w:tcW w:w="5887"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Spring Boot 4.1 / Java 25 REST API — business logic, route handlers, JPA / DB access</w:t>
            </w:r>
          </w:p>
        </w:tc>
      </w:tr>
      <w:tr>
        <w:trPr>
          <w:cantSplit w:val="true"/>
        </w:trPr>
        <w:tc>
          <w:tcPr>
            <w:tcW w:w="432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pe-sub-extraction</w:t>
            </w:r>
          </w:p>
        </w:tc>
        <w:tc>
          <w:tcPr>
            <w:tcW w:w="5887"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Spring Boot 4.1 / Java 25 document extraction service — parses XLSX/CSV agent schedules, returns structured LP records to pe-sub-api; maintains BB template registry</w:t>
            </w:r>
          </w:p>
        </w:tc>
      </w:tr>
      <w:tr>
        <w:trPr>
          <w:cantSplit w:val="true"/>
        </w:trPr>
        <w:tc>
          <w:tcPr>
            <w:tcW w:w="432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pe-sub-jobs</w:t>
            </w:r>
          </w:p>
        </w:tc>
        <w:tc>
          <w:tcPr>
            <w:tcW w:w="5887"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Spring Boot 4.1 / Java 25 / Spring Batch 6 ingestion jobs service — CSV upserts (facility-ingest, lp-master-ingest) into the shared PostgreSQL</w:t>
            </w:r>
          </w:p>
        </w:tc>
      </w:tr>
      <w:tr>
        <w:trPr>
          <w:cantSplit w:val="true"/>
        </w:trPr>
        <w:tc>
          <w:tcPr>
            <w:tcW w:w="432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pe-sub-infra</w:t>
            </w:r>
          </w:p>
        </w:tc>
        <w:tc>
          <w:tcPr>
            <w:tcW w:w="5887"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Kubernetes manifests for local cluster (Docker Desktop / Rancher Desktop) and managed Kubernetes deployment</w:t>
            </w:r>
          </w:p>
        </w:tc>
      </w:tr>
      <w:tr>
        <w:trPr>
          <w:cantSplit w:val="true"/>
        </w:trPr>
        <w:tc>
          <w:tcPr>
            <w:tcW w:w="432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pe-sub-docs</w:t>
            </w:r>
          </w:p>
        </w:tc>
        <w:tc>
          <w:tcPr>
            <w:tcW w:w="5887"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Solution design, OpenAPI specification (openapi.yaml v0.8.0), and Postman/Talend API collection</w:t>
            </w:r>
          </w:p>
        </w:tc>
      </w:tr>
      <w:tr>
        <w:trPr>
          <w:cantSplit w:val="true"/>
        </w:trPr>
        <w:tc>
          <w:tcPr>
            <w:tcW w:w="4322"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pe-sub-platform</w:t>
            </w:r>
          </w:p>
        </w:tc>
        <w:tc>
          <w:tcPr>
            <w:tcW w:w="5887"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Working prototype only — used to gather and refine requirements; not deployed to production</w:t>
            </w:r>
          </w:p>
        </w:tc>
      </w:tr>
    </w:tbl>
    <w:p>
      <w:pPr>
        <w:pStyle w:val="Normal"/>
        <w:spacing w:before="0" w:after="120"/>
        <w:rPr/>
      </w:pPr>
      <w:r>
        <w:rPr/>
      </w:r>
    </w:p>
    <w:p>
      <w:pPr>
        <w:pStyle w:val="Heading2"/>
        <w:spacing w:before="180" w:after="100"/>
        <w:rPr>
          <w:color w:val="454545"/>
        </w:rPr>
      </w:pPr>
      <w:r>
        <w:rPr>
          <w:color w:val="454545"/>
        </w:rPr>
        <w:t>Decision: flat repos, not a monorepo</w:t>
      </w:r>
    </w:p>
    <w:p>
      <w:pPr>
        <w:pStyle w:val="Normal"/>
        <w:spacing w:lineRule="exact" w:line="290" w:before="0" w:after="105"/>
        <w:rPr>
          <w:color w:val="292929"/>
          <w:sz w:val="20"/>
          <w:szCs w:val="20"/>
        </w:rPr>
      </w:pPr>
      <w:r>
        <w:rPr>
          <w:color w:val="292929"/>
          <w:sz w:val="20"/>
          <w:szCs w:val="20"/>
        </w:rPr>
        <w:t>Rejected: Turborepo / pnpm workspaces monorepo with nested apps/ and packages/.</w:t>
      </w:r>
    </w:p>
    <w:p>
      <w:pPr>
        <w:pStyle w:val="Normal"/>
        <w:spacing w:lineRule="exact" w:line="290" w:before="0" w:after="105"/>
        <w:rPr>
          <w:color w:val="292929"/>
          <w:sz w:val="20"/>
          <w:szCs w:val="20"/>
        </w:rPr>
      </w:pPr>
      <w:r>
        <w:rPr>
          <w:color w:val="292929"/>
          <w:sz w:val="20"/>
          <w:szCs w:val="20"/>
        </w:rPr>
        <w:t>Chosen: flat repos.</w:t>
      </w:r>
    </w:p>
    <w:p>
      <w:pPr>
        <w:pStyle w:val="Normal"/>
        <w:spacing w:lineRule="exact" w:line="290" w:before="0" w:after="105"/>
        <w:rPr>
          <w:color w:val="292929"/>
          <w:sz w:val="20"/>
          <w:szCs w:val="20"/>
        </w:rPr>
      </w:pPr>
      <w:r>
        <w:rPr>
          <w:color w:val="292929"/>
          <w:sz w:val="20"/>
          <w:szCs w:val="20"/>
        </w:rPr>
        <w:t xml:space="preserve">Rationale: Simpler to navigate and own. Monorepo tooling overhead is not justified for a focused internal tool where API and UI are always deployed together. </w:t>
      </w:r>
    </w:p>
    <w:p>
      <w:pPr>
        <w:pStyle w:val="Heading2"/>
        <w:spacing w:before="180" w:after="100"/>
        <w:rPr>
          <w:color w:val="454545"/>
        </w:rPr>
      </w:pPr>
      <w:r>
        <w:rPr>
          <w:color w:val="454545"/>
        </w:rPr>
        <w:t>pe-sub-infra — current state</w:t>
      </w:r>
    </w:p>
    <w:p>
      <w:pPr>
        <w:pStyle w:val="Normal"/>
        <w:spacing w:lineRule="exact" w:line="290" w:before="0" w:after="105"/>
        <w:rPr>
          <w:color w:val="292929"/>
          <w:sz w:val="20"/>
          <w:szCs w:val="20"/>
        </w:rPr>
      </w:pPr>
      <w:r>
        <w:rPr>
          <w:color w:val="292929"/>
          <w:sz w:val="20"/>
          <w:szCs w:val="20"/>
        </w:rPr>
        <w:t>Contains Kubernetes manifests for a local cluster (Docker Desktop / Rancher Desktop). Terraform for Azure cloud resources remains deferred until the cloud architecture is confirmed. The UBS Azure Cloud service catalog offers Azure Functions, AKS, or Web Apps (Azure Container Apps is not available); AKS is the confirmed compute target for the three Spring Boot services — Functions does not fit long-running Spring services, and Web Apps offers no orchestration for a multi-service topology. Remaining target resources: Azure Database for PostgreSQL Flexible Server, Azure Key Vault, container registry, and networking / DNS. The React UI will be served either from a Web App or behind the AKS ingress (decision pending). See §6 for current state.</w:t>
      </w:r>
    </w:p>
    <w:p>
      <w:pPr>
        <w:pStyle w:val="Normal"/>
        <w:spacing w:lineRule="exact" w:line="290" w:before="0" w:after="105"/>
        <w:rPr>
          <w:color w:val="292929"/>
          <w:sz w:val="20"/>
          <w:szCs w:val="20"/>
        </w:rPr>
      </w:pPr>
      <w:r>
        <w:rPr>
          <w:color w:val="292929"/>
          <w:sz w:val="20"/>
          <w:szCs w:val="20"/>
        </w:rPr>
        <w:t>---</w:t>
      </w:r>
    </w:p>
    <w:p>
      <w:pPr>
        <w:pStyle w:val="Normal"/>
        <w:rPr/>
      </w:pPr>
      <w:r>
        <w:rPr/>
      </w:r>
      <w:r>
        <w:br w:type="page"/>
      </w:r>
    </w:p>
    <w:p>
      <w:pPr>
        <w:pStyle w:val="Heading1"/>
        <w:pBdr>
          <w:bottom w:val="single" w:sz="8" w:space="0" w:color="C00000"/>
        </w:pBdr>
        <w:spacing w:before="260" w:after="100"/>
        <w:rPr>
          <w:color w:val="292929"/>
        </w:rPr>
      </w:pPr>
      <w:r>
        <w:rPr>
          <w:color w:val="292929"/>
        </w:rPr>
        <w:t>2. Tech Stack</w:t>
      </w:r>
    </w:p>
    <w:p>
      <w:pPr>
        <w:pStyle w:val="Heading2"/>
        <w:spacing w:before="180" w:after="100"/>
        <w:rPr>
          <w:color w:val="454545"/>
        </w:rPr>
      </w:pPr>
      <w:r>
        <w:rPr>
          <w:color w:val="454545"/>
        </w:rPr>
        <w:t>Core services (pe-sub-api, pe-sub-extraction, pe-sub-jobs)</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Layer</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Technology</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Notes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Language</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Java 25 (LTS)</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All three backend services (upgraded from Java 21, July 2026)</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Runtime</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Spring Boot 4.1</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All three backend services (upgraded from Boot 3.5, July 2026). Modularized auto-configuration: Flyway needs spring-boot-starter-flyway; MockMvc tests need spring-boot-starter-webmvc-test; @WithMockUser needs spring-boot-starter-security-test</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Build tool</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Maven 3.9</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Maven Wrapper removed during the Boot 4.1 upgrade — builds require a local Maven install</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ORM / persistence</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Spring Data JPA (Hibernate 7)</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pe-sub-api and pe-sub-extraction</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Schema / migrations</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Flyway (spring-boot-starter-flyway)</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SQL migrations in pe-sub-api/src/main/resources/db/migration/; applied automatically on startup</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Database</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PostgreSQL 16</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Azure Database for PostgreSQL Flexible Server in production; Docker locally</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JSON / JSONB</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Jackson 3 (tools.jackson.*), PGobject</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bb_snapshots.result column via AttributeConverter. Jackson 2 fully removed; annotations remain com.fasterxml.jackson.annotation. Jackson 2 null-to-primitive parity kept via spring.jackson.deserialization.fail-on-null-for-primitives: false in pe-sub-api</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HTTP client</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Spring RestClient</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pe-sub-api → pe-sub-extraction calls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XLSX / XLS parsing</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Apache POI 5.5.1 (poi-ooxml)</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pe-sub-extraction</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CSV parsing</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Apache Commons CSV 1.14.1</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pe-sub-extraction</w:t>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Logging</w:t>
            </w:r>
          </w:p>
        </w:tc>
        <w:tc>
          <w:tcPr>
            <w:tcW w:w="3402"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Logback via logback-spring.xml</w:t>
            </w:r>
          </w:p>
        </w:tc>
        <w:tc>
          <w:tcPr>
            <w:tcW w:w="3402"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Rolling daily log, gzip archive, 30-day retention, 2 GB cap; both pe-sub-api and pe-sub-extraction</w:t>
            </w:r>
          </w:p>
        </w:tc>
      </w:tr>
    </w:tbl>
    <w:p>
      <w:pPr>
        <w:pStyle w:val="Normal"/>
        <w:spacing w:before="0" w:after="120"/>
        <w:rPr/>
      </w:pPr>
      <w:r>
        <w:rPr/>
      </w:r>
    </w:p>
    <w:p>
      <w:pPr>
        <w:pStyle w:val="Heading2"/>
        <w:spacing w:before="180" w:after="100"/>
        <w:rPr>
          <w:color w:val="454545"/>
        </w:rPr>
      </w:pPr>
      <w:r>
        <w:rPr>
          <w:color w:val="454545"/>
        </w:rPr>
        <w:t>Frontend (pe-sub-ui)</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Layer</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Technology</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Notes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Language</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TypeScript 5.x</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Runtime</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React 18, Vite 5</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Dev server proxy</w:t>
            </w:r>
          </w:p>
        </w:tc>
        <w:tc>
          <w:tcPr>
            <w:tcW w:w="3402"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Vite server.proxy</w:t>
            </w:r>
          </w:p>
        </w:tc>
        <w:tc>
          <w:tcPr>
            <w:tcW w:w="3402"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 → localhost:3001; avoids CORS config in development</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w:t>
      </w:r>
    </w:p>
    <w:p>
      <w:pPr>
        <w:pStyle w:val="Normal"/>
        <w:rPr/>
      </w:pPr>
      <w:r>
        <w:rPr/>
      </w:r>
      <w:r>
        <w:br w:type="page"/>
      </w:r>
    </w:p>
    <w:p>
      <w:pPr>
        <w:pStyle w:val="Heading1"/>
        <w:pBdr>
          <w:bottom w:val="single" w:sz="8" w:space="0" w:color="C00000"/>
        </w:pBdr>
        <w:spacing w:before="260" w:after="100"/>
        <w:rPr>
          <w:color w:val="292929"/>
        </w:rPr>
      </w:pPr>
      <w:r>
        <w:rPr>
          <w:color w:val="292929"/>
        </w:rPr>
        <w:t>3. Architecture</w:t>
      </w:r>
    </w:p>
    <w:p>
      <w:pPr>
        <w:pStyle w:val="Normal"/>
        <w:pBdr>
          <w:left w:val="single" w:sz="20" w:space="0" w:color="454545"/>
        </w:pBdr>
        <w:shd w:val="clear" w:fill="F4F4F4"/>
        <w:spacing w:before="80" w:after="120"/>
        <w:rPr>
          <w:rFonts w:ascii="Consolas" w:hAnsi="Consolas" w:eastAsia="Consolas" w:cs="Consolas"/>
          <w:color w:val="292929"/>
          <w:sz w:val="16"/>
          <w:szCs w:val="16"/>
        </w:rPr>
      </w:pPr>
      <w:r>
        <w:rPr>
          <w:rFonts w:eastAsia="Consolas" w:cs="Consolas" w:ascii="Consolas" w:hAnsi="Consolas"/>
          <w:color w:val="292929"/>
          <w:sz w:val="16"/>
          <w:szCs w:val="16"/>
        </w:rPr>
        <w:t>Browser   │   └─ pe-sub-ui  (React / Vite, port 3000)         │         └─ /api/* (Vite proxy) ──────────────────────────────▶  pe-sub-api  (port 3001)                                                                       │                                                                Spring Data JPA                                                                       │                                                                   PostgreSQL                                                                       │                                                      POST /api/extract (forward=false)                                                                       ▼                                                            pe-sub-extraction  (port 3002)                                                                (returns ExtractionResult                                                                 to pe-sub-api; pe-sub-api                                                                 persists and ingest-routes)   pe-sub-jobs  (port 3003)  ──── scheduled HTTP ──────────────▶  pe-sub-api   (no jobs implemented yet)</w:t>
      </w:r>
    </w:p>
    <w:p>
      <w:pPr>
        <w:pStyle w:val="ListParagraph"/>
        <w:numPr>
          <w:ilvl w:val="0"/>
          <w:numId w:val="1"/>
        </w:numPr>
        <w:spacing w:before="0" w:after="55"/>
        <w:rPr>
          <w:color w:val="292929"/>
          <w:sz w:val="20"/>
          <w:szCs w:val="20"/>
        </w:rPr>
      </w:pPr>
      <w:r>
        <w:rPr>
          <w:color w:val="292929"/>
          <w:sz w:val="20"/>
          <w:szCs w:val="20"/>
        </w:rPr>
        <w:t>pe-sub-ui calls pe-sub-api exclusively via the Vite dev proxy. It never calls pe-sub-extraction directly.</w:t>
      </w:r>
    </w:p>
    <w:p>
      <w:pPr>
        <w:pStyle w:val="ListParagraph"/>
        <w:numPr>
          <w:ilvl w:val="0"/>
          <w:numId w:val="1"/>
        </w:numPr>
        <w:spacing w:before="0" w:after="55"/>
        <w:rPr>
          <w:color w:val="292929"/>
          <w:sz w:val="20"/>
          <w:szCs w:val="20"/>
        </w:rPr>
      </w:pPr>
      <w:r>
        <w:rPr>
          <w:color w:val="292929"/>
          <w:sz w:val="20"/>
          <w:szCs w:val="20"/>
        </w:rPr>
        <w:t>pe-sub-api owns all business logic: LP management, BB calculation (Java port of the engine), submission ingestion, name matching, and configuration management.</w:t>
      </w:r>
    </w:p>
    <w:p>
      <w:pPr>
        <w:pStyle w:val="ListParagraph"/>
        <w:numPr>
          <w:ilvl w:val="0"/>
          <w:numId w:val="1"/>
        </w:numPr>
        <w:spacing w:before="0" w:after="55"/>
        <w:rPr>
          <w:color w:val="292929"/>
          <w:sz w:val="20"/>
          <w:szCs w:val="20"/>
        </w:rPr>
      </w:pPr>
      <w:r>
        <w:rPr>
          <w:color w:val="292929"/>
          <w:sz w:val="20"/>
          <w:szCs w:val="20"/>
        </w:rPr>
        <w:t>pe-sub-api calls pe-sub-extraction with forward=false on upload, receives the ExtractionResult directly, and handles persistence and LP ingest internally.</w:t>
      </w:r>
    </w:p>
    <w:p>
      <w:pPr>
        <w:pStyle w:val="ListParagraph"/>
        <w:numPr>
          <w:ilvl w:val="0"/>
          <w:numId w:val="1"/>
        </w:numPr>
        <w:spacing w:before="0" w:after="55"/>
        <w:rPr>
          <w:color w:val="292929"/>
          <w:sz w:val="20"/>
          <w:szCs w:val="20"/>
        </w:rPr>
      </w:pPr>
      <w:r>
        <w:rPr>
          <w:color w:val="292929"/>
          <w:sz w:val="20"/>
          <w:szCs w:val="20"/>
        </w:rPr>
        <w:t>pe-sub-extraction parses uploaded spreadsheets, scores fields by confidence, and returns structured results. When forward=true it can also POST to pe-sub-api/lpRecords/ingest directly (used for standalone testing only).</w:t>
      </w:r>
    </w:p>
    <w:p>
      <w:pPr>
        <w:pStyle w:val="ListParagraph"/>
        <w:numPr>
          <w:ilvl w:val="0"/>
          <w:numId w:val="1"/>
        </w:numPr>
        <w:spacing w:before="0" w:after="55"/>
        <w:rPr>
          <w:color w:val="292929"/>
          <w:sz w:val="20"/>
          <w:szCs w:val="20"/>
        </w:rPr>
      </w:pPr>
      <w:r>
        <w:rPr>
          <w:color w:val="292929"/>
          <w:sz w:val="20"/>
          <w:szCs w:val="20"/>
        </w:rPr>
        <w:t>pe-sub-jobs is intended to run scheduled tasks (e.g. automatic monthly BB recalculation) against pe-sub-api. No jobs are implemented yet.</w:t>
      </w:r>
    </w:p>
    <w:p>
      <w:pPr>
        <w:pStyle w:val="ListParagraph"/>
        <w:numPr>
          <w:ilvl w:val="0"/>
          <w:numId w:val="1"/>
        </w:numPr>
        <w:spacing w:before="0" w:after="55"/>
        <w:rPr>
          <w:color w:val="292929"/>
          <w:sz w:val="20"/>
          <w:szCs w:val="20"/>
        </w:rPr>
      </w:pPr>
      <w:r>
        <w:rPr>
          <w:color w:val="292929"/>
          <w:sz w:val="20"/>
          <w:szCs w:val="20"/>
        </w:rPr>
        <w:t>In Kubernetes, pe-sub-extraction and pe-sub-jobs are ClusterIP (internal only). Only pe-sub-api has a NodePort (30001) accessible outside the cluster.</w:t>
      </w:r>
    </w:p>
    <w:p>
      <w:pPr>
        <w:pStyle w:val="Normal"/>
        <w:spacing w:lineRule="exact" w:line="290" w:before="0" w:after="105"/>
        <w:rPr>
          <w:color w:val="292929"/>
          <w:sz w:val="20"/>
          <w:szCs w:val="20"/>
        </w:rPr>
      </w:pPr>
      <w:r>
        <w:rPr>
          <w:color w:val="292929"/>
          <w:sz w:val="20"/>
          <w:szCs w:val="20"/>
        </w:rPr>
        <w:t>---</w:t>
      </w:r>
    </w:p>
    <w:p>
      <w:pPr>
        <w:pStyle w:val="Normal"/>
        <w:rPr/>
      </w:pPr>
      <w:r>
        <w:rPr/>
      </w:r>
      <w:r>
        <w:br w:type="page"/>
      </w:r>
    </w:p>
    <w:p>
      <w:pPr>
        <w:pStyle w:val="Heading1"/>
        <w:pBdr>
          <w:bottom w:val="single" w:sz="8" w:space="0" w:color="C00000"/>
        </w:pBdr>
        <w:spacing w:before="260" w:after="100"/>
        <w:rPr>
          <w:color w:val="292929"/>
        </w:rPr>
      </w:pPr>
      <w:r>
        <w:rPr>
          <w:color w:val="292929"/>
        </w:rPr>
        <w:t>4. Database Schema</w:t>
      </w:r>
    </w:p>
    <w:p>
      <w:pPr>
        <w:pStyle w:val="Normal"/>
        <w:spacing w:lineRule="exact" w:line="290" w:before="0" w:after="105"/>
        <w:rPr>
          <w:color w:val="292929"/>
          <w:sz w:val="20"/>
          <w:szCs w:val="20"/>
        </w:rPr>
      </w:pPr>
      <w:r>
        <w:rPr>
          <w:color w:val="292929"/>
          <w:sz w:val="20"/>
          <w:szCs w:val="20"/>
        </w:rPr>
        <w:t>Defined by Flyway SQL migrations in pe-sub-api/src/main/resources/db/migration/:</w:t>
      </w:r>
    </w:p>
    <w:tbl>
      <w:tblPr>
        <w:tblW w:w="5000" w:type="pct"/>
        <w:jc w:val="left"/>
        <w:tblInd w:w="0" w:type="dxa"/>
        <w:tblLayout w:type="fixed"/>
        <w:tblCellMar>
          <w:top w:w="80" w:type="dxa"/>
          <w:left w:w="100" w:type="dxa"/>
          <w:bottom w:w="80" w:type="dxa"/>
          <w:right w:w="100" w:type="dxa"/>
        </w:tblCellMar>
      </w:tblPr>
      <w:tblGrid>
        <w:gridCol w:w="5102"/>
        <w:gridCol w:w="5103"/>
      </w:tblGrid>
      <w:tr>
        <w:trPr>
          <w:tblHeader w:val="true"/>
          <w:cantSplit w:val="true"/>
        </w:trPr>
        <w:tc>
          <w:tcPr>
            <w:tcW w:w="51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File</w:t>
            </w:r>
          </w:p>
        </w:tc>
        <w:tc>
          <w:tcPr>
            <w:tcW w:w="5103"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Contents</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V1_1__schema.sql</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All DDL — users, facilities (incl. operational metadata: account_number, loan_amount, maturity_date, collateral_date, bank_status, bank_status_date), lp_records (incl. fund_sleeve and the four precise-money *_num columns), bb_snapshots, config, submissions (incl. wizard_step / shadow_bb_overrides), audit_log, lp_rates, submission_extractions, match_queue_entries, FM Dictionary tables, BB template registry tables (bb_templates / bb_template_tabs / bb_template_groups, slug- and class-keyed)</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V1_2__seed.sql</w:t>
            </w:r>
          </w:p>
        </w:tc>
        <w:tc>
          <w:tcPr>
            <w:tcW w:w="5103"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Config seed (busa_tiers, agent_tiers, agent_rate_params, elig_rules, conc_limits, global_settings, matching_config; the classification_config and per-LP cls_conc_limit_defaults/cls_conc_limit_bounds are seeded in V1_3__config.sql); FM Dictionary — canonical fields (incl. Agent LP Classification + derived UBS LP Classification), aliases, blocklist, suggestions; LP rates feed (source='SIMULATED'). Template registry rows are not seeded — templates enter exclusively via POST /api/bb-templates/import (BB-Template-Import-*.xlsx)</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V1_3__config.sql</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Database-owned UI/domain configuration: classification_config (CLS/Agent CLS/UBS CLS option lists, UBS default rates, agent-rate→UBS-tier mapping, Agent→UBS CLS map) and further config keys; matching_config regex expansion patch</w:t>
            </w:r>
          </w:p>
        </w:tc>
      </w:tr>
      <w:tr>
        <w:trPr>
          <w:cantSplit w:val="true"/>
        </w:trPr>
        <w:tc>
          <w:tcPr>
            <w:tcW w:w="5102"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V1_4__report_history.sql</w:t>
            </w:r>
          </w:p>
        </w:tc>
        <w:tc>
          <w:tcPr>
            <w:tcW w:w="5103"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report_history table — one row per generated report from the Reports screen; facility_name denormalised, facility_id soft link (ON DELETE SET NULL)</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To make a schema change: add a new V1_N__description.sql (or V2_1__ for the next major release) and restart pe-sub-api. V1_1 and V1_2 are the consolidated base — do not modify them once a production DB has been initialized; use new numbered files instead (see Decision 44).</w:t>
      </w:r>
    </w:p>
    <w:p>
      <w:pPr>
        <w:pStyle w:val="Heading2"/>
        <w:spacing w:before="180" w:after="100"/>
        <w:rPr>
          <w:color w:val="454545"/>
        </w:rPr>
      </w:pPr>
      <w:r>
        <w:rPr>
          <w:color w:val="454545"/>
        </w:rPr>
        <w:t>users</w:t>
      </w:r>
    </w:p>
    <w:tbl>
      <w:tblPr>
        <w:tblW w:w="5000" w:type="pct"/>
        <w:jc w:val="left"/>
        <w:tblInd w:w="0" w:type="dxa"/>
        <w:tblLayout w:type="fixed"/>
        <w:tblCellMar>
          <w:top w:w="80" w:type="dxa"/>
          <w:left w:w="100" w:type="dxa"/>
          <w:bottom w:w="80" w:type="dxa"/>
          <w:right w:w="100" w:type="dxa"/>
        </w:tblCellMar>
      </w:tblPr>
      <w:tblGrid>
        <w:gridCol w:w="2551"/>
        <w:gridCol w:w="2551"/>
        <w:gridCol w:w="0"/>
        <w:gridCol w:w="2552"/>
        <w:gridCol w:w="2551"/>
      </w:tblGrid>
      <w:tr>
        <w:trPr>
          <w:tblHeader w:val="true"/>
          <w:cantSplit w:val="true"/>
        </w:trPr>
        <w:tc>
          <w:tcPr>
            <w:tcW w:w="2551"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Column</w:t>
            </w:r>
          </w:p>
        </w:tc>
        <w:tc>
          <w:tcPr>
            <w:tcW w:w="255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Type</w:t>
            </w:r>
          </w:p>
        </w:tc>
        <w:tc>
          <w:tcPr>
            <w:tcW w:w="5103" w:type="dxa"/>
            <w:gridSpan w:val="3"/>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Notes</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id</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serial PK</w:t>
            </w:r>
          </w:p>
        </w:tc>
        <w:tc>
          <w:tcPr>
            <w:tcW w:w="5103" w:type="dxa"/>
            <w:gridSpan w:val="3"/>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email</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varchar(255) unique</w:t>
            </w:r>
          </w:p>
        </w:tc>
        <w:tc>
          <w:tcPr>
            <w:tcW w:w="5103" w:type="dxa"/>
            <w:gridSpan w:val="3"/>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pPr>
            <w:r>
              <w:rPr/>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name</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varchar(255)</w:t>
            </w:r>
          </w:p>
        </w:tc>
        <w:tc>
          <w:tcPr>
            <w:tcW w:w="5103" w:type="dxa"/>
            <w:gridSpan w:val="3"/>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role</w:t>
            </w:r>
          </w:p>
        </w:tc>
        <w:tc>
          <w:tcPr>
            <w:tcW w:w="2551" w:type="dxa"/>
            <w:gridSpan w:val="2"/>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varchar(50)</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Analyst \</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Account/Transaction Manager</w:t>
            </w:r>
          </w:p>
        </w:tc>
      </w:tr>
      <w:tr>
        <w:trPr>
          <w:cantSplit w:val="true"/>
        </w:trPr>
        <w:tc>
          <w:tcPr>
            <w:tcW w:w="2551"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created_at</w:t>
            </w:r>
          </w:p>
        </w:tc>
        <w:tc>
          <w:tcPr>
            <w:tcW w:w="2551"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timestamp</w:t>
            </w:r>
          </w:p>
        </w:tc>
        <w:tc>
          <w:tcPr>
            <w:tcW w:w="5103" w:type="dxa"/>
            <w:gridSpan w:val="3"/>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pPr>
            <w:r>
              <w:rPr/>
            </w:r>
          </w:p>
        </w:tc>
      </w:tr>
    </w:tbl>
    <w:p>
      <w:pPr>
        <w:pStyle w:val="Normal"/>
        <w:spacing w:before="0" w:after="120"/>
        <w:rPr/>
      </w:pPr>
      <w:r>
        <w:rPr/>
      </w:r>
    </w:p>
    <w:p>
      <w:pPr>
        <w:pStyle w:val="Heading2"/>
        <w:spacing w:before="180" w:after="100"/>
        <w:rPr>
          <w:color w:val="454545"/>
        </w:rPr>
      </w:pPr>
      <w:r>
        <w:rPr>
          <w:color w:val="454545"/>
        </w:rPr>
        <w:t>facilities</w:t>
      </w:r>
    </w:p>
    <w:tbl>
      <w:tblPr>
        <w:tblW w:w="5000" w:type="pct"/>
        <w:jc w:val="left"/>
        <w:tblInd w:w="0" w:type="dxa"/>
        <w:tblLayout w:type="fixed"/>
        <w:tblCellMar>
          <w:top w:w="80" w:type="dxa"/>
          <w:left w:w="100" w:type="dxa"/>
          <w:bottom w:w="80" w:type="dxa"/>
          <w:right w:w="100" w:type="dxa"/>
        </w:tblCellMar>
      </w:tblPr>
      <w:tblGrid>
        <w:gridCol w:w="1457"/>
        <w:gridCol w:w="1"/>
        <w:gridCol w:w="1457"/>
        <w:gridCol w:w="1459"/>
        <w:gridCol w:w="1457"/>
        <w:gridCol w:w="1459"/>
        <w:gridCol w:w="1457"/>
        <w:gridCol w:w="1458"/>
      </w:tblGrid>
      <w:tr>
        <w:trPr>
          <w:tblHeader w:val="true"/>
          <w:cantSplit w:val="true"/>
        </w:trPr>
        <w:tc>
          <w:tcPr>
            <w:tcW w:w="1457"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Column</w:t>
            </w:r>
          </w:p>
        </w:tc>
        <w:tc>
          <w:tcPr>
            <w:tcW w:w="1458" w:type="dxa"/>
            <w:gridSpan w:val="2"/>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Type</w:t>
            </w:r>
          </w:p>
        </w:tc>
        <w:tc>
          <w:tcPr>
            <w:tcW w:w="7290" w:type="dxa"/>
            <w:gridSpan w:val="5"/>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Notes</w:t>
            </w:r>
          </w:p>
        </w:tc>
      </w:tr>
      <w:tr>
        <w:trPr>
          <w:cantSplit w:val="true"/>
        </w:trPr>
        <w:tc>
          <w:tcPr>
            <w:tcW w:w="1457"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id</w:t>
            </w:r>
          </w:p>
        </w:tc>
        <w:tc>
          <w:tcPr>
            <w:tcW w:w="1458" w:type="dxa"/>
            <w:gridSpan w:val="2"/>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serial PK</w:t>
            </w:r>
          </w:p>
        </w:tc>
        <w:tc>
          <w:tcPr>
            <w:tcW w:w="7290" w:type="dxa"/>
            <w:gridSpan w:val="5"/>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1457"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name</w:t>
            </w:r>
          </w:p>
        </w:tc>
        <w:tc>
          <w:tcPr>
            <w:tcW w:w="1458" w:type="dxa"/>
            <w:gridSpan w:val="2"/>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varchar(255) unique</w:t>
            </w:r>
          </w:p>
        </w:tc>
        <w:tc>
          <w:tcPr>
            <w:tcW w:w="7290" w:type="dxa"/>
            <w:gridSpan w:val="5"/>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pPr>
            <w:r>
              <w:rPr/>
            </w:r>
          </w:p>
        </w:tc>
      </w:tr>
      <w:tr>
        <w:trPr>
          <w:cantSplit w:val="true"/>
        </w:trPr>
        <w:tc>
          <w:tcPr>
            <w:tcW w:w="1457"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agent_bank</w:t>
            </w:r>
          </w:p>
        </w:tc>
        <w:tc>
          <w:tcPr>
            <w:tcW w:w="1458" w:type="dxa"/>
            <w:gridSpan w:val="2"/>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varchar(255)</w:t>
            </w:r>
          </w:p>
        </w:tc>
        <w:tc>
          <w:tcPr>
            <w:tcW w:w="7290" w:type="dxa"/>
            <w:gridSpan w:val="5"/>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Maps to template_format identifier</w:t>
            </w:r>
          </w:p>
        </w:tc>
      </w:tr>
      <w:tr>
        <w:trPr>
          <w:cantSplit w:val="true"/>
        </w:trPr>
        <w:tc>
          <w:tcPr>
            <w:tcW w:w="1458" w:type="dxa"/>
            <w:gridSpan w:val="2"/>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status</w:t>
            </w:r>
          </w:p>
        </w:tc>
        <w:tc>
          <w:tcPr>
            <w:tcW w:w="1457"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varchar(50)</w:t>
            </w:r>
          </w:p>
        </w:tc>
        <w:tc>
          <w:tcPr>
            <w:tcW w:w="1459"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Workflow status: Not Started \</w:t>
            </w:r>
          </w:p>
        </w:tc>
        <w:tc>
          <w:tcPr>
            <w:tcW w:w="1457"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 Progress \</w:t>
            </w:r>
          </w:p>
        </w:tc>
        <w:tc>
          <w:tcPr>
            <w:tcW w:w="1459"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Needs Review \</w:t>
            </w:r>
          </w:p>
        </w:tc>
        <w:tc>
          <w:tcPr>
            <w:tcW w:w="1457"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Active \</w:t>
            </w:r>
          </w:p>
        </w:tc>
        <w:tc>
          <w:tcPr>
            <w:tcW w:w="1458" w:type="dxa"/>
            <w:tcBorders>
              <w:top w:val="single" w:sz="2" w:space="0" w:color="B7B7B7"/>
              <w:left w:val="single" w:sz="2" w:space="0" w:color="B7B7B7"/>
              <w:bottom w:val="single" w:sz="2" w:space="0" w:color="B7B7B7"/>
              <w:right w:val="single" w:sz="4" w:space="0" w:color="B7B7B7"/>
            </w:tcBorders>
            <w:shd w:fill="FFF2CC" w:val="clear"/>
          </w:tcPr>
          <w:p>
            <w:pPr>
              <w:pStyle w:val="Normal"/>
              <w:widowControl w:val="false"/>
              <w:spacing w:before="0" w:after="0"/>
              <w:rPr>
                <w:b w:val="false"/>
                <w:b w:val="false"/>
                <w:bCs w:val="false"/>
                <w:color w:val="292929"/>
                <w:sz w:val="17"/>
                <w:szCs w:val="17"/>
              </w:rPr>
            </w:pPr>
            <w:r>
              <w:rPr>
                <w:b w:val="false"/>
                <w:bCs w:val="false"/>
                <w:color w:val="292929"/>
                <w:sz w:val="17"/>
                <w:szCs w:val="17"/>
              </w:rPr>
              <w:t>Pending</w:t>
            </w:r>
          </w:p>
        </w:tc>
      </w:tr>
      <w:tr>
        <w:trPr>
          <w:cantSplit w:val="true"/>
        </w:trPr>
        <w:tc>
          <w:tcPr>
            <w:tcW w:w="1457"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conc_limit_m</w:t>
            </w:r>
          </w:p>
        </w:tc>
        <w:tc>
          <w:tcPr>
            <w:tcW w:w="1458" w:type="dxa"/>
            <w:gridSpan w:val="2"/>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numeric(10,2)</w:t>
            </w:r>
          </w:p>
        </w:tc>
        <w:tc>
          <w:tcPr>
            <w:tcW w:w="7290" w:type="dxa"/>
            <w:gridSpan w:val="5"/>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Per-LP concentration limit in $M; default 25</w:t>
            </w:r>
          </w:p>
        </w:tc>
      </w:tr>
      <w:tr>
        <w:trPr>
          <w:cantSplit w:val="true"/>
        </w:trPr>
        <w:tc>
          <w:tcPr>
            <w:tcW w:w="1457"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last_run_at</w:t>
            </w:r>
          </w:p>
        </w:tc>
        <w:tc>
          <w:tcPr>
            <w:tcW w:w="1458" w:type="dxa"/>
            <w:gridSpan w:val="2"/>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timestamp nullable</w:t>
            </w:r>
          </w:p>
        </w:tc>
        <w:tc>
          <w:tcPr>
            <w:tcW w:w="7290" w:type="dxa"/>
            <w:gridSpan w:val="5"/>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Set on each Shadow BB run</w:t>
            </w:r>
          </w:p>
        </w:tc>
      </w:tr>
      <w:tr>
        <w:trPr>
          <w:cantSplit w:val="true"/>
        </w:trPr>
        <w:tc>
          <w:tcPr>
            <w:tcW w:w="1457"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created_at / updated_at</w:t>
            </w:r>
          </w:p>
        </w:tc>
        <w:tc>
          <w:tcPr>
            <w:tcW w:w="1458" w:type="dxa"/>
            <w:gridSpan w:val="2"/>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timestamp</w:t>
            </w:r>
          </w:p>
        </w:tc>
        <w:tc>
          <w:tcPr>
            <w:tcW w:w="7290" w:type="dxa"/>
            <w:gridSpan w:val="5"/>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1457"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account_number</w:t>
            </w:r>
          </w:p>
        </w:tc>
        <w:tc>
          <w:tcPr>
            <w:tcW w:w="1458" w:type="dxa"/>
            <w:gridSpan w:val="2"/>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varchar(20) nullable</w:t>
            </w:r>
          </w:p>
        </w:tc>
        <w:tc>
          <w:tcPr>
            <w:tcW w:w="7290" w:type="dxa"/>
            <w:gridSpan w:val="5"/>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(planned) UBS internal loan reference, e.g. 5VX1796; unique; operational link to UBS loan administration</w:t>
            </w:r>
          </w:p>
        </w:tc>
      </w:tr>
      <w:tr>
        <w:trPr>
          <w:cantSplit w:val="true"/>
        </w:trPr>
        <w:tc>
          <w:tcPr>
            <w:tcW w:w="1457"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loan_amount</w:t>
            </w:r>
          </w:p>
        </w:tc>
        <w:tc>
          <w:tcPr>
            <w:tcW w:w="1458" w:type="dxa"/>
            <w:gridSpan w:val="2"/>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numeric(15,2) nullable</w:t>
            </w:r>
          </w:p>
        </w:tc>
        <w:tc>
          <w:tcPr>
            <w:tcW w:w="7290" w:type="dxa"/>
            <w:gridSpan w:val="5"/>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(planned) Committed facility size in USD from Agent Bank Summary</w:t>
            </w:r>
          </w:p>
        </w:tc>
      </w:tr>
      <w:tr>
        <w:trPr>
          <w:cantSplit w:val="true"/>
        </w:trPr>
        <w:tc>
          <w:tcPr>
            <w:tcW w:w="1457"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maturity_date</w:t>
            </w:r>
          </w:p>
        </w:tc>
        <w:tc>
          <w:tcPr>
            <w:tcW w:w="1458" w:type="dxa"/>
            <w:gridSpan w:val="2"/>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date nullable</w:t>
            </w:r>
          </w:p>
        </w:tc>
        <w:tc>
          <w:tcPr>
            <w:tcW w:w="7290" w:type="dxa"/>
            <w:gridSpan w:val="5"/>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(planned) Facility maturity date</w:t>
            </w:r>
          </w:p>
        </w:tc>
      </w:tr>
      <w:tr>
        <w:trPr>
          <w:cantSplit w:val="true"/>
        </w:trPr>
        <w:tc>
          <w:tcPr>
            <w:tcW w:w="1457"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collateral_date</w:t>
            </w:r>
          </w:p>
        </w:tc>
        <w:tc>
          <w:tcPr>
            <w:tcW w:w="1458" w:type="dxa"/>
            <w:gridSpan w:val="2"/>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date nullable</w:t>
            </w:r>
          </w:p>
        </w:tc>
        <w:tc>
          <w:tcPr>
            <w:tcW w:w="7290" w:type="dxa"/>
            <w:gridSpan w:val="5"/>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Collateral as-of date from Agent Bank Summary</w:t>
            </w:r>
          </w:p>
        </w:tc>
      </w:tr>
      <w:tr>
        <w:trPr>
          <w:cantSplit w:val="true"/>
        </w:trPr>
        <w:tc>
          <w:tcPr>
            <w:tcW w:w="1457"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bank_status</w:t>
            </w:r>
          </w:p>
        </w:tc>
        <w:tc>
          <w:tcPr>
            <w:tcW w:w="1458" w:type="dxa"/>
            <w:gridSpan w:val="2"/>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varchar(50) nullable</w:t>
            </w:r>
          </w:p>
        </w:tc>
        <w:tc>
          <w:tcPr>
            <w:tcW w:w="7290" w:type="dxa"/>
            <w:gridSpan w:val="5"/>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(planned) Credit/operational status, e.g. Active / Terminated; distinct from workflow status</w:t>
            </w:r>
          </w:p>
        </w:tc>
      </w:tr>
      <w:tr>
        <w:trPr>
          <w:cantSplit w:val="true"/>
        </w:trPr>
        <w:tc>
          <w:tcPr>
            <w:tcW w:w="1457"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bank_status_date</w:t>
            </w:r>
          </w:p>
        </w:tc>
        <w:tc>
          <w:tcPr>
            <w:tcW w:w="1458" w:type="dxa"/>
            <w:gridSpan w:val="2"/>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date nullable</w:t>
            </w:r>
          </w:p>
        </w:tc>
        <w:tc>
          <w:tcPr>
            <w:tcW w:w="7290" w:type="dxa"/>
            <w:gridSpan w:val="5"/>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(planned) Most recent bank_status change date from Agent Bank Summary</w:t>
            </w:r>
          </w:p>
        </w:tc>
      </w:tr>
    </w:tbl>
    <w:p>
      <w:pPr>
        <w:pStyle w:val="Normal"/>
        <w:spacing w:before="0" w:after="120"/>
        <w:rPr/>
      </w:pPr>
      <w:r>
        <w:rPr/>
      </w:r>
    </w:p>
    <w:p>
      <w:pPr>
        <w:pStyle w:val="Heading2"/>
        <w:spacing w:before="180" w:after="100"/>
        <w:rPr>
          <w:color w:val="454545"/>
        </w:rPr>
      </w:pPr>
      <w:r>
        <w:rPr>
          <w:color w:val="454545"/>
        </w:rPr>
        <w:t>lp_records</w:t>
      </w:r>
    </w:p>
    <w:p>
      <w:pPr>
        <w:pStyle w:val="Normal"/>
        <w:spacing w:lineRule="exact" w:line="290" w:before="0" w:after="105"/>
        <w:rPr>
          <w:color w:val="292929"/>
          <w:sz w:val="20"/>
          <w:szCs w:val="20"/>
        </w:rPr>
      </w:pPr>
      <w:r>
        <w:rPr>
          <w:color w:val="292929"/>
          <w:sz w:val="20"/>
          <w:szCs w:val="20"/>
        </w:rPr>
        <w:t>Stores the LP Master — one record per LP per facility.</w:t>
      </w:r>
    </w:p>
    <w:p>
      <w:pPr>
        <w:pStyle w:val="Normal"/>
        <w:spacing w:lineRule="exact" w:line="290" w:before="0" w:after="105"/>
        <w:rPr>
          <w:color w:val="292929"/>
          <w:sz w:val="20"/>
          <w:szCs w:val="20"/>
        </w:rPr>
      </w:pPr>
      <w:r>
        <w:rPr>
          <w:color w:val="292929"/>
          <w:sz w:val="20"/>
          <w:szCs w:val="20"/>
        </w:rPr>
        <w:t>Column naming aligned with LP Master schema: API/DTO field names (e.g. cls, uc, inc) differ from DB column names — see MASTER_DB_MAPPING.md for the full mapping.</w:t>
      </w:r>
    </w:p>
    <w:tbl>
      <w:tblPr>
        <w:tblW w:w="5000" w:type="pct"/>
        <w:jc w:val="left"/>
        <w:tblInd w:w="0" w:type="dxa"/>
        <w:tblLayout w:type="fixed"/>
        <w:tblCellMar>
          <w:top w:w="80" w:type="dxa"/>
          <w:left w:w="100" w:type="dxa"/>
          <w:bottom w:w="80" w:type="dxa"/>
          <w:right w:w="100" w:type="dxa"/>
        </w:tblCellMar>
      </w:tblPr>
      <w:tblGrid>
        <w:gridCol w:w="5102"/>
        <w:gridCol w:w="5103"/>
      </w:tblGrid>
      <w:tr>
        <w:trPr>
          <w:tblHeader w:val="true"/>
          <w:cantSplit w:val="true"/>
        </w:trPr>
        <w:tc>
          <w:tcPr>
            <w:tcW w:w="51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Group</w:t>
            </w:r>
          </w:p>
        </w:tc>
        <w:tc>
          <w:tcPr>
            <w:tcW w:w="5103"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DB columns</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Identity &amp; Classification</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investor_name, parent, spv, high_qty, inv_type, region, investment_grade, classification, classification_tag, agent_cls, fund_sleeve</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Ratings</w:t>
            </w:r>
          </w:p>
        </w:tc>
        <w:tc>
          <w:tcPr>
            <w:tcW w:w="5103"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sp, mdy, fitch</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Financial Scale</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aum, nav, pension, pension_funded</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Commitment Data</w:t>
            </w:r>
          </w:p>
        </w:tc>
        <w:tc>
          <w:tcPr>
            <w:tcW w:w="5103"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cap_commit, pct_cap_commit, called_cap</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Uncalled / Eligible Capital</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uncalled_capital, pct_uncalled, pct_called</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Concentration &amp; BB</w:t>
            </w:r>
          </w:p>
        </w:tc>
        <w:tc>
          <w:tcPr>
            <w:tcW w:w="5103"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agent_conc, ubs_conc, agent_excess_conc, ubs_excess_conc, agent_rate, ubs_rate, agent_bb, ubs_bb</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Status</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included, rcl, recallable_dist, transferee, source_seq</w:t>
            </w:r>
          </w:p>
        </w:tc>
      </w:tr>
      <w:tr>
        <w:trPr>
          <w:cantSplit w:val="true"/>
        </w:trPr>
        <w:tc>
          <w:tcPr>
            <w:tcW w:w="5102"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Meta</w:t>
            </w:r>
          </w:p>
        </w:tc>
        <w:tc>
          <w:tcPr>
            <w:tcW w:w="5103"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notes, facility_id (FK → facilities), created_at, updated_at</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Note: rate (BUSA advance rate) and computed fields (ubb, delta, uec) are not stored — they are derived at runtime by the BB engine from cls and uc. Only abb (agent's submitted BB value) is stored as a source field.</w:t>
      </w:r>
    </w:p>
    <w:p>
      <w:pPr>
        <w:pStyle w:val="Normal"/>
        <w:spacing w:lineRule="exact" w:line="290" w:before="0" w:after="105"/>
        <w:rPr>
          <w:color w:val="292929"/>
          <w:sz w:val="20"/>
          <w:szCs w:val="20"/>
        </w:rPr>
      </w:pPr>
      <w:r>
        <w:rPr>
          <w:color w:val="292929"/>
          <w:sz w:val="20"/>
          <w:szCs w:val="20"/>
        </w:rPr>
        <w:t>Precise money columns (dual-write). Four money fields carry a NUMERIC(20,2) companion column holding exact absolute dollars alongside the formatted display string: uncalled_capital_num, cap_commit_num, aum_num, agent_bb_num. Write paths keep both in sync — extraction ingest persists the exact extracted decimal plus the rounded display string ("$12.3M"); a Shadow BB commit re-derives the numerics from the committed strings and clears stale values. The BB engine computes from the numeric column when present and falls back to parsing the display string otherwise, so calculations are exact-dollar rather than re-parsed from rounded labels. The *_num columns are internal — never exposed on a DTO (resolves former Gap G10 for calculation purposes).</w:t>
      </w:r>
    </w:p>
    <w:p>
      <w:pPr>
        <w:pStyle w:val="Heading2"/>
        <w:spacing w:before="180" w:after="100"/>
        <w:rPr>
          <w:color w:val="454545"/>
        </w:rPr>
      </w:pPr>
      <w:r>
        <w:rPr>
          <w:color w:val="454545"/>
        </w:rPr>
        <w:t>lp_rates</w:t>
      </w:r>
    </w:p>
    <w:p>
      <w:pPr>
        <w:pStyle w:val="Normal"/>
        <w:spacing w:lineRule="exact" w:line="290" w:before="0" w:after="105"/>
        <w:rPr>
          <w:color w:val="292929"/>
          <w:sz w:val="20"/>
          <w:szCs w:val="20"/>
        </w:rPr>
      </w:pPr>
      <w:r>
        <w:rPr>
          <w:color w:val="292929"/>
          <w:sz w:val="20"/>
          <w:szCs w:val="20"/>
        </w:rPr>
        <w:t>LP rates feed — one row per LP per effective period. Populated by the monthly batch ingestion process; LpRateService.findLatestAsOf(lpId, asOf) returns the most recent row on or before the submission date for use in the Shadow BB calculation. Seeded with simulated rates (source = 'SIMULATED', effective 2025-01-01) so test submissions have rates from day one.</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Column</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Type</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Notes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id</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serial PK</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lp_id</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integer FK → lp_records</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ON DELETE CASCADE</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effective_date</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date</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Date rates take effect</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classification</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varchar(50)</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cls value at time of ingestion</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ubs_adv_rate_pct</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numeric(7,4)</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UBS advance rate as decimal fraction (0.9000 = 90%)</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ubs_conc_limit_pct</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numeric(7,4)</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Per-LP concentration cap as fraction of total eligible uncalled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source</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varchar(50)</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BATCH_FEED (production) or SIMULATED (dev seed)</w:t>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created_at</w:t>
            </w:r>
          </w:p>
        </w:tc>
        <w:tc>
          <w:tcPr>
            <w:tcW w:w="3402"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timestamp</w:t>
            </w:r>
          </w:p>
        </w:tc>
        <w:tc>
          <w:tcPr>
            <w:tcW w:w="3402"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pPr>
            <w:r>
              <w:rPr/>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Unique constraint on (lp_id, effective_date). Indices on effective_date and lp_id.</w:t>
      </w:r>
    </w:p>
    <w:p>
      <w:pPr>
        <w:pStyle w:val="Heading2"/>
        <w:spacing w:before="180" w:after="100"/>
        <w:rPr>
          <w:color w:val="454545"/>
        </w:rPr>
      </w:pPr>
      <w:r>
        <w:rPr>
          <w:color w:val="454545"/>
        </w:rPr>
        <w:t>bb_snapshots</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Column</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Type</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Notes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id</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serial PK</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facility_id</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integer FK → facilities</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calculated_by</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integer FK → users nullable</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calculated_at</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timestamp</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result</w:t>
            </w:r>
          </w:p>
        </w:tc>
        <w:tc>
          <w:tcPr>
            <w:tcW w:w="3402"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jsonb</w:t>
            </w:r>
          </w:p>
        </w:tc>
        <w:tc>
          <w:tcPr>
            <w:tcW w:w="3402"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Full BBResult — lps[], summary, breaches[]</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Snapshots are append-only. The latest snapshot per facility is the current Shadow BB. Historical snapshots support trend reporting and the audit trail.</w:t>
      </w:r>
    </w:p>
    <w:p>
      <w:pPr>
        <w:pStyle w:val="Heading2"/>
        <w:spacing w:before="180" w:after="100"/>
        <w:rPr>
          <w:color w:val="454545"/>
        </w:rPr>
      </w:pPr>
      <w:r>
        <w:rPr>
          <w:color w:val="454545"/>
        </w:rPr>
        <w:t>submissions</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Column</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Type</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Notes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id</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serial PK</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facility_id</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integer FK → facilities</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Not null</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agent_bank</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varchar(255)</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Not null</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period_month</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varchar(20)</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Date string passed from the UI e.g. "2026-05-31"</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status</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varchar(50)</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Default Processing; transitions to Review (extraction complete) or Error (pe-sub-extraction unreachable)</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file_name</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varchar(255)</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Original filename as uploaded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file_path</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varchar(512) nullable</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Absolute server path to the saved file; configured via ${app.uploads.path}</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uploaded_by</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integer FK → users nullable</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notes</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text nullable</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Optional analyst notes submitted with the upload form</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wizard_step</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integer</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1-indexed step in the ingest wizard (1=Upload, 3=Review Extraction, 4=Review Matches, 5=LP Classification &amp; Rate Assignment); default 1; step 2 is transient and never stored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shadow_bb_overrides</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jsonb nullable</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LP classification/rate overrides committed by the credit officer on the Run Shadow BB screen; keyed by LP _key</w:t>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created_at / updated_at</w:t>
            </w:r>
          </w:p>
        </w:tc>
        <w:tc>
          <w:tcPr>
            <w:tcW w:w="3402"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timestamp</w:t>
            </w:r>
          </w:p>
        </w:tc>
        <w:tc>
          <w:tcPr>
            <w:tcW w:w="3402"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pPr>
            <w:r>
              <w:rPr/>
            </w:r>
          </w:p>
        </w:tc>
      </w:tr>
    </w:tbl>
    <w:p>
      <w:pPr>
        <w:pStyle w:val="Normal"/>
        <w:spacing w:before="0" w:after="120"/>
        <w:rPr/>
      </w:pPr>
      <w:r>
        <w:rPr/>
      </w:r>
    </w:p>
    <w:p>
      <w:pPr>
        <w:pStyle w:val="Heading2"/>
        <w:spacing w:before="180" w:after="100"/>
        <w:rPr>
          <w:color w:val="454545"/>
        </w:rPr>
      </w:pPr>
      <w:r>
        <w:rPr>
          <w:color w:val="454545"/>
        </w:rPr>
        <w:t>submission_extractions</w:t>
      </w:r>
    </w:p>
    <w:p>
      <w:pPr>
        <w:pStyle w:val="Normal"/>
        <w:spacing w:lineRule="exact" w:line="290" w:before="0" w:after="105"/>
        <w:rPr>
          <w:color w:val="292929"/>
          <w:sz w:val="20"/>
          <w:szCs w:val="20"/>
        </w:rPr>
      </w:pPr>
      <w:r>
        <w:rPr>
          <w:color w:val="292929"/>
          <w:sz w:val="20"/>
          <w:szCs w:val="20"/>
        </w:rPr>
        <w:t>One row per submission; unique index on submission_id.</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Column</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Type</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Notes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id</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serial PK</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submission_id</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integer FK → submissions unique</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template_format</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varchar(50) nullable</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Detected bank format. Current values: CITIBANK, JPM, GOLDMAN_SACHS, BARCLAYS, BANK_OF_AMERICA, WELLS_FARGO, PNC_BANK, FIFTH_THIRD, HUNTINGTON, WHITE_OAK, ARES, MIDCAP_FINANCIAL, INTERNAL, UNKNOWN. Planned additions (Decision 32): BMO, BNY_MELLON, CIBC, CITY_NATIONAL, LLOYDS, MT_BANK, MIZUHO, MORGAN_STANLEY, NATIXIS, SILICON_VALLEY_BANK, SMBC, SOCIETE_GENERALE, UBS_BANK_USA. Note: CITIZENS_FINANCIAL removed — Citizens Financial Group is a separate institution from SVB/First Citizens.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template_version</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varchar(50) nullable</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Reserved for future versioning</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sheet_name</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varchar(255) nullable</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Name of the BB sheet extracted from</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header_row_index</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integer nullable</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Zero-based header row index in the sheet</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total_rows</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integer</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Count of data rows parsed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flagged_count</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integer</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Count of rows with requiresReview: true</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extracted_lps</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jsonb nullable</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Full ExtractionResult.records array</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field_mappings</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jsonb nullable</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ExtractionResult.fieldMappings array</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unrecognized_columns</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jsonb nullable</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ExtractionResult.unrecognizedColumns array</w:t>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created_at</w:t>
            </w:r>
          </w:p>
        </w:tc>
        <w:tc>
          <w:tcPr>
            <w:tcW w:w="3402"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timestamp</w:t>
            </w:r>
          </w:p>
        </w:tc>
        <w:tc>
          <w:tcPr>
            <w:tcW w:w="3402"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pPr>
            <w:r>
              <w:rPr/>
            </w:r>
          </w:p>
        </w:tc>
      </w:tr>
    </w:tbl>
    <w:p>
      <w:pPr>
        <w:pStyle w:val="Normal"/>
        <w:spacing w:before="0" w:after="120"/>
        <w:rPr/>
      </w:pPr>
      <w:r>
        <w:rPr/>
      </w:r>
    </w:p>
    <w:p>
      <w:pPr>
        <w:pStyle w:val="Heading2"/>
        <w:spacing w:before="180" w:after="100"/>
        <w:rPr>
          <w:color w:val="454545"/>
        </w:rPr>
      </w:pPr>
      <w:r>
        <w:rPr>
          <w:color w:val="454545"/>
        </w:rPr>
        <w:t>match_queue_entries</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Column</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Type</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Notes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id</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serial PK</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submission_id</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integer FK → submissions</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facility_id</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integer FK → facilities</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row_index</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integer</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Source row in the extracted LP array</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extracted_name</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varchar(255) nullable</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Investor name as extracted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matched_lp_id</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integer FK → lp_records nullable</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Best LP Master match, if any</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matched_lp_name</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varchar(255) nullable</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Matched LP name at time of ingest</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match_score</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integer nullable</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Combined similarity score 0–100</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decision</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varchar(50)</w:t>
            </w:r>
          </w:p>
        </w:tc>
        <w:tc>
          <w:tcPr>
            <w:tcW w:w="3402" w:type="dxa"/>
            <w:tcBorders>
              <w:top w:val="single" w:sz="2" w:space="0" w:color="B7B7B7"/>
              <w:left w:val="single" w:sz="2" w:space="0" w:color="B7B7B7"/>
              <w:bottom w:val="single" w:sz="2" w:space="0" w:color="B7B7B7"/>
              <w:right w:val="single" w:sz="4" w:space="0" w:color="B7B7B7"/>
            </w:tcBorders>
            <w:shd w:fill="FFF2CC" w:val="clear"/>
          </w:tcPr>
          <w:p>
            <w:pPr>
              <w:pStyle w:val="Normal"/>
              <w:widowControl w:val="false"/>
              <w:spacing w:before="0" w:after="0"/>
              <w:rPr>
                <w:b w:val="false"/>
                <w:b w:val="false"/>
                <w:bCs w:val="false"/>
                <w:color w:val="292929"/>
                <w:sz w:val="17"/>
                <w:szCs w:val="17"/>
              </w:rPr>
            </w:pPr>
            <w:r>
              <w:rPr>
                <w:b w:val="false"/>
                <w:bCs w:val="false"/>
                <w:color w:val="292929"/>
                <w:sz w:val="17"/>
                <w:szCs w:val="17"/>
              </w:rPr>
              <w:t>Default pending; transitions to accepted, rejected, or manual</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master_name_override</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varchar(255) nullable</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Manual name entered by credit officer</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is_new</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boolean</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True if no existing LP Master record matched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reasons</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jsonb nullable</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Array of reason strings explaining the queue action</w:t>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created_at / updated_at</w:t>
            </w:r>
          </w:p>
        </w:tc>
        <w:tc>
          <w:tcPr>
            <w:tcW w:w="3402"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timestamp</w:t>
            </w:r>
          </w:p>
        </w:tc>
        <w:tc>
          <w:tcPr>
            <w:tcW w:w="3402"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pPr>
            <w:r>
              <w:rPr/>
            </w:r>
          </w:p>
        </w:tc>
      </w:tr>
    </w:tbl>
    <w:p>
      <w:pPr>
        <w:pStyle w:val="Normal"/>
        <w:spacing w:before="0" w:after="120"/>
        <w:rPr/>
      </w:pPr>
      <w:r>
        <w:rPr/>
      </w:r>
    </w:p>
    <w:p>
      <w:pPr>
        <w:pStyle w:val="Heading2"/>
        <w:spacing w:before="180" w:after="100"/>
        <w:rPr>
          <w:color w:val="454545"/>
        </w:rPr>
      </w:pPr>
      <w:r>
        <w:rPr>
          <w:color w:val="454545"/>
        </w:rPr>
        <w:t>bb_templates</w:t>
      </w:r>
    </w:p>
    <w:p>
      <w:pPr>
        <w:pStyle w:val="Normal"/>
        <w:spacing w:lineRule="exact" w:line="290" w:before="0" w:after="105"/>
        <w:rPr>
          <w:color w:val="292929"/>
          <w:sz w:val="20"/>
          <w:szCs w:val="20"/>
        </w:rPr>
      </w:pPr>
      <w:r>
        <w:rPr>
          <w:color w:val="292929"/>
          <w:sz w:val="20"/>
          <w:szCs w:val="20"/>
        </w:rPr>
        <w:t>Auto-learned template registry keyed by agent bank. On first confirmed extraction for an agent bank, the sheet name, header row index, and template class are saved. On subsequent uploads from the same bank, SubmissionController passes these as sheetNameHint / headerRowHint to skip heuristic detection.</w:t>
      </w:r>
    </w:p>
    <w:p>
      <w:pPr>
        <w:pStyle w:val="Normal"/>
        <w:pBdr>
          <w:left w:val="single" w:sz="28" w:space="0" w:color="C00000"/>
        </w:pBdr>
        <w:shd w:val="clear" w:fill="FCE8E6"/>
        <w:spacing w:before="80" w:after="120"/>
        <w:ind w:left="180" w:hanging="0"/>
        <w:rPr>
          <w:i/>
          <w:i/>
          <w:iCs/>
          <w:color w:val="454545"/>
          <w:sz w:val="19"/>
          <w:szCs w:val="19"/>
        </w:rPr>
      </w:pPr>
      <w:r>
        <w:rPr>
          <w:i/>
          <w:iCs/>
          <w:color w:val="454545"/>
          <w:sz w:val="19"/>
          <w:szCs w:val="19"/>
        </w:rPr>
        <w:t>Multi-format note (Decision 43): A single agent bank may use more than one template class across different facilities (confirmed for Wells Fargo: Class A on Blue Owl GP Stakes V, Class B on Petershill IV). The current unique key on agent_bank is insufficient for this case. When a second confirmed extraction for the same agent bank produces a different template class, a second registry row must be created keyed by (agent_bank, template_class) rather than agent_bank alone. Schema change planned for V1_7.</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Column</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Type</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Notes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id</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serial PK</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agent_bank</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varchar(255)</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Case-insensitive index; not unique once multi-class support is added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template_class</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varchar(10) nullable</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(planned) A, B, or C; populated on POST /{id}/confirm; drives extraction parsing path</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sheet_name</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varchar(255) nullable</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BB sheet name to target</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header_row_index</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integer nullable</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Zero-based header row index</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auto_learned</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boolean</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Default true — set by POST /{id}/confirm</w:t>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created_at / updated_at</w:t>
            </w:r>
          </w:p>
        </w:tc>
        <w:tc>
          <w:tcPr>
            <w:tcW w:w="3402"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timestamp</w:t>
            </w:r>
          </w:p>
        </w:tc>
        <w:tc>
          <w:tcPr>
            <w:tcW w:w="3402"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pPr>
            <w:r>
              <w:rPr/>
            </w:r>
          </w:p>
        </w:tc>
      </w:tr>
    </w:tbl>
    <w:p>
      <w:pPr>
        <w:pStyle w:val="Normal"/>
        <w:spacing w:before="0" w:after="120"/>
        <w:rPr/>
      </w:pPr>
      <w:r>
        <w:rPr/>
      </w:r>
    </w:p>
    <w:p>
      <w:pPr>
        <w:pStyle w:val="Heading2"/>
        <w:spacing w:before="180" w:after="100"/>
        <w:rPr>
          <w:color w:val="454545"/>
        </w:rPr>
      </w:pPr>
      <w:r>
        <w:rPr>
          <w:color w:val="454545"/>
        </w:rPr>
        <w:t>audit_log</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Column</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Type</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Notes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id</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serial PK</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event</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varchar(100)</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Not null. One of: BB Recalculated, LP Reclassified, LP Data Updated, Upload, Export, Config Change, Match Config Change, Login, Field Mapping Change, Abort, Re-extraction, Extraction Confirmed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detail</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text nullable</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Human-readable event detail; format varies by event type (see §5 Audit)</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facility_id</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integer FK → facilities nullable</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Null for non-facility-scoped events (e.g. Login, Config Change)</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user_id</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integer FK → users nullable</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Reserved for auth integration; not yet populated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user_name</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varchar(100) nullable</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Display name of the actor stored at write time; decoupled from users FK</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ip</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varchar(45) nullable</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Client IP — resolved from X-Forwarded-For header if present, else remoteAddr</w:t>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created_at</w:t>
            </w:r>
          </w:p>
        </w:tc>
        <w:tc>
          <w:tcPr>
            <w:tcW w:w="3402"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timestamp</w:t>
            </w:r>
          </w:p>
        </w:tc>
        <w:tc>
          <w:tcPr>
            <w:tcW w:w="3402"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Set by @PrePersist; not updatable</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A descending index on created_at (idx_audit_log_created_at) supports the default sort on GET /api/audit.</w:t>
      </w:r>
    </w:p>
    <w:p>
      <w:pPr>
        <w:pStyle w:val="Normal"/>
        <w:spacing w:lineRule="exact" w:line="290" w:before="0" w:after="105"/>
        <w:rPr>
          <w:color w:val="292929"/>
          <w:sz w:val="20"/>
          <w:szCs w:val="20"/>
        </w:rPr>
      </w:pPr>
      <w:r>
        <w:rPr>
          <w:color w:val="292929"/>
          <w:sz w:val="20"/>
          <w:szCs w:val="20"/>
        </w:rPr>
        <w:t>Writers:</w:t>
      </w:r>
    </w:p>
    <w:p>
      <w:pPr>
        <w:pStyle w:val="ListParagraph"/>
        <w:numPr>
          <w:ilvl w:val="0"/>
          <w:numId w:val="1"/>
        </w:numPr>
        <w:spacing w:before="0" w:after="55"/>
        <w:rPr>
          <w:color w:val="292929"/>
          <w:sz w:val="20"/>
          <w:szCs w:val="20"/>
        </w:rPr>
      </w:pPr>
      <w:r>
        <w:rPr>
          <w:color w:val="292929"/>
          <w:sz w:val="20"/>
          <w:szCs w:val="20"/>
        </w:rPr>
        <w:t>BbController — inserts BB Recalculated on every POST /api/bb/run/:facilityId</w:t>
      </w:r>
    </w:p>
    <w:p>
      <w:pPr>
        <w:pStyle w:val="ListParagraph"/>
        <w:numPr>
          <w:ilvl w:val="0"/>
          <w:numId w:val="1"/>
        </w:numPr>
        <w:spacing w:before="0" w:after="55"/>
        <w:rPr>
          <w:color w:val="292929"/>
          <w:sz w:val="20"/>
          <w:szCs w:val="20"/>
        </w:rPr>
      </w:pPr>
      <w:r>
        <w:rPr>
          <w:color w:val="292929"/>
          <w:sz w:val="20"/>
          <w:szCs w:val="20"/>
        </w:rPr>
        <w:t>LpRecordController — inserts LP Reclassified when cls changes on PATCH /api/lpRecords/:id; inserts LP Data Updated when POST /api/lpRecords/ingest updates at least one LP record</w:t>
      </w:r>
    </w:p>
    <w:p>
      <w:pPr>
        <w:pStyle w:val="ListParagraph"/>
        <w:numPr>
          <w:ilvl w:val="0"/>
          <w:numId w:val="1"/>
        </w:numPr>
        <w:spacing w:before="0" w:after="55"/>
        <w:rPr>
          <w:color w:val="292929"/>
          <w:sz w:val="20"/>
          <w:szCs w:val="20"/>
        </w:rPr>
      </w:pPr>
      <w:r>
        <w:rPr>
          <w:color w:val="292929"/>
          <w:sz w:val="20"/>
          <w:szCs w:val="20"/>
        </w:rPr>
        <w:t>SubmissionController — inserts Upload on every POST /api/submissions; Abort on POST /:id/abort; Re-extraction on POST /:id/reextract; Extraction Confirmed on POST /:id/confirm; Field Mapping Change on POST /:id/remap (when a new alias is created)</w:t>
      </w:r>
    </w:p>
    <w:p>
      <w:pPr>
        <w:pStyle w:val="ListParagraph"/>
        <w:numPr>
          <w:ilvl w:val="0"/>
          <w:numId w:val="1"/>
        </w:numPr>
        <w:spacing w:before="0" w:after="55"/>
        <w:rPr>
          <w:color w:val="292929"/>
          <w:sz w:val="20"/>
          <w:szCs w:val="20"/>
        </w:rPr>
      </w:pPr>
      <w:r>
        <w:rPr>
          <w:color w:val="292929"/>
          <w:sz w:val="20"/>
          <w:szCs w:val="20"/>
        </w:rPr>
        <w:t>AuditController — inserts Login on POST /api/audit/login (called by UI on app mount)</w:t>
      </w:r>
    </w:p>
    <w:p>
      <w:pPr>
        <w:pStyle w:val="ListParagraph"/>
        <w:numPr>
          <w:ilvl w:val="0"/>
          <w:numId w:val="1"/>
        </w:numPr>
        <w:spacing w:before="0" w:after="55"/>
        <w:rPr>
          <w:color w:val="292929"/>
          <w:sz w:val="20"/>
          <w:szCs w:val="20"/>
        </w:rPr>
      </w:pPr>
      <w:r>
        <w:rPr>
          <w:color w:val="292929"/>
          <w:sz w:val="20"/>
          <w:szCs w:val="20"/>
        </w:rPr>
        <w:t>ConfigController — inserts Config Change on PUT /api/config/eligibility; inserts Match Config Change on PUT /api/config/matching; detail names the specific section in both cases</w:t>
      </w:r>
    </w:p>
    <w:p>
      <w:pPr>
        <w:pStyle w:val="ListParagraph"/>
        <w:numPr>
          <w:ilvl w:val="0"/>
          <w:numId w:val="1"/>
        </w:numPr>
        <w:spacing w:before="0" w:after="55"/>
        <w:rPr>
          <w:color w:val="292929"/>
          <w:sz w:val="20"/>
          <w:szCs w:val="20"/>
        </w:rPr>
      </w:pPr>
      <w:r>
        <w:rPr>
          <w:color w:val="292929"/>
          <w:sz w:val="20"/>
          <w:szCs w:val="20"/>
        </w:rPr>
        <w:t>FieldMappingController — inserts Field Mapping Change on alias mutations</w:t>
      </w:r>
    </w:p>
    <w:p>
      <w:pPr>
        <w:pStyle w:val="Normal"/>
        <w:spacing w:lineRule="exact" w:line="290" w:before="0" w:after="105"/>
        <w:rPr>
          <w:color w:val="292929"/>
          <w:sz w:val="20"/>
          <w:szCs w:val="20"/>
        </w:rPr>
      </w:pPr>
      <w:r>
        <w:rPr>
          <w:color w:val="292929"/>
          <w:sz w:val="20"/>
          <w:szCs w:val="20"/>
        </w:rPr>
        <w:t>All writers record user_name from the authenticated principal (Spring Security context — the dev-mode fixed identity or the gateway-supplied X-Auth-User) and resolve IP via X-Forwarded-For → remoteAddr. The forwarded-for value is only trusted in gateway mode (where the reverse proxy sets it); direct client-supplied values cannot spoof it.</w:t>
      </w:r>
    </w:p>
    <w:p>
      <w:pPr>
        <w:pStyle w:val="Normal"/>
        <w:spacing w:lineRule="exact" w:line="290" w:before="0" w:after="105"/>
        <w:rPr>
          <w:color w:val="292929"/>
          <w:sz w:val="20"/>
          <w:szCs w:val="20"/>
        </w:rPr>
      </w:pPr>
      <w:r>
        <w:rPr>
          <w:color w:val="292929"/>
          <w:sz w:val="20"/>
          <w:szCs w:val="20"/>
        </w:rPr>
        <w:t>Event detail formats by type:</w:t>
      </w:r>
    </w:p>
    <w:tbl>
      <w:tblPr>
        <w:tblW w:w="5000" w:type="pct"/>
        <w:jc w:val="left"/>
        <w:tblInd w:w="0" w:type="dxa"/>
        <w:tblLayout w:type="fixed"/>
        <w:tblCellMar>
          <w:top w:w="80" w:type="dxa"/>
          <w:left w:w="100" w:type="dxa"/>
          <w:bottom w:w="80" w:type="dxa"/>
          <w:right w:w="100" w:type="dxa"/>
        </w:tblCellMar>
      </w:tblPr>
      <w:tblGrid>
        <w:gridCol w:w="5102"/>
        <w:gridCol w:w="5103"/>
      </w:tblGrid>
      <w:tr>
        <w:trPr>
          <w:tblHeader w:val="true"/>
          <w:cantSplit w:val="true"/>
        </w:trPr>
        <w:tc>
          <w:tcPr>
            <w:tcW w:w="51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Event</w:t>
            </w:r>
          </w:p>
        </w:tc>
        <w:tc>
          <w:tcPr>
            <w:tcW w:w="5103"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Detail format</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BB Recalculated</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 LPs · UBS BB $X.XM</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LP Reclassified</w:t>
            </w:r>
          </w:p>
        </w:tc>
        <w:tc>
          <w:tcPr>
            <w:tcW w:w="5103"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LP Name → NewCls (was OldCls)</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LP Data Updated</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 LP records updated from &lt;TEMPLATE_FORMAT&gt; extraction</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Upload</w:t>
            </w:r>
          </w:p>
        </w:tc>
        <w:tc>
          <w:tcPr>
            <w:tcW w:w="5103"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periodMonth · fileName · agentBank</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Login</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User login</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Abort</w:t>
            </w:r>
          </w:p>
        </w:tc>
        <w:tc>
          <w:tcPr>
            <w:tcW w:w="5103"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Submission #N aborted</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Re-extraction</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Submission #N re-extracted</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Extraction Confirmed</w:t>
            </w:r>
          </w:p>
        </w:tc>
        <w:tc>
          <w:tcPr>
            <w:tcW w:w="5103"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Submission #N extraction confirmed</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Config Change</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&lt;Section&gt; updated — eligibility sections: BUSA Advance Rate Schedule, Agent Advance Rate Schedule, Agent Rate Parameters, Eligibility Rules, Concentration Limits, Global Settings</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Match Config Change</w:t>
            </w:r>
          </w:p>
        </w:tc>
        <w:tc>
          <w:tcPr>
            <w:tcW w:w="5103"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&lt;Section&gt; updated — matching sections: Confidence Thresholds, Algorithm Weights, Legal Entity Suffix Rules, Abbreviation Expansion Dictionary</w:t>
            </w:r>
          </w:p>
        </w:tc>
      </w:tr>
      <w:tr>
        <w:trPr>
          <w:cantSplit w:val="true"/>
        </w:trPr>
        <w:tc>
          <w:tcPr>
            <w:tcW w:w="5102"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Field Mapping Change</w:t>
            </w:r>
          </w:p>
        </w:tc>
        <w:tc>
          <w:tcPr>
            <w:tcW w:w="5103"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FM Alias Added: "&lt;text&gt;" → &lt;canonical&gt; / FM Alias Removed: "&lt;text&gt;" / FM Alias Updated: "&lt;old&gt;" → "&lt;new&gt;"</w:t>
            </w:r>
          </w:p>
        </w:tc>
      </w:tr>
    </w:tbl>
    <w:p>
      <w:pPr>
        <w:pStyle w:val="Normal"/>
        <w:spacing w:before="0" w:after="120"/>
        <w:rPr/>
      </w:pPr>
      <w:r>
        <w:rPr/>
      </w:r>
    </w:p>
    <w:p>
      <w:pPr>
        <w:pStyle w:val="Heading2"/>
        <w:spacing w:before="180" w:after="100"/>
        <w:rPr>
          <w:color w:val="454545"/>
        </w:rPr>
      </w:pPr>
      <w:r>
        <w:rPr>
          <w:color w:val="454545"/>
        </w:rPr>
        <w:t>config</w:t>
      </w:r>
    </w:p>
    <w:p>
      <w:pPr>
        <w:pStyle w:val="Normal"/>
        <w:spacing w:lineRule="exact" w:line="290" w:before="0" w:after="105"/>
        <w:rPr>
          <w:color w:val="292929"/>
          <w:sz w:val="20"/>
          <w:szCs w:val="20"/>
        </w:rPr>
      </w:pPr>
      <w:r>
        <w:rPr>
          <w:color w:val="292929"/>
          <w:sz w:val="20"/>
          <w:szCs w:val="20"/>
        </w:rPr>
        <w:t>Platform configuration — advance rates, eligibility rules, concentration limits, and global settings. Seeded by V1_2__seed.sql; editable at runtime via PUT /api/config/* endpoints.</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Column</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Type</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Notes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key</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varchar(100) PK</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e.g. busa_tiers, elig_rules, conc_limits, global_settings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value</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jsonb</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JSON array or object; shape varies by key</w:t>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updated_at</w:t>
            </w:r>
          </w:p>
        </w:tc>
        <w:tc>
          <w:tcPr>
            <w:tcW w:w="3402"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timestamp</w:t>
            </w:r>
          </w:p>
        </w:tc>
        <w:tc>
          <w:tcPr>
            <w:tcW w:w="3402"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Set on upsert</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Seeded rows: busa_tiers, agent_tiers, agent_rate_params, elig_rules, conc_limits, cls_conc_limit_defaults, cls_conc_limit_bounds, global_settings, matching_config, classification_config. Config is cached in-memory and hot-reloadable via POST /api/config/reload.</w:t>
      </w:r>
    </w:p>
    <w:p>
      <w:pPr>
        <w:pStyle w:val="Normal"/>
        <w:spacing w:lineRule="exact" w:line="290" w:before="0" w:after="105"/>
        <w:rPr>
          <w:color w:val="292929"/>
          <w:sz w:val="20"/>
          <w:szCs w:val="20"/>
        </w:rPr>
      </w:pPr>
      <w:r>
        <w:rPr>
          <w:color w:val="292929"/>
          <w:sz w:val="20"/>
          <w:szCs w:val="20"/>
        </w:rPr>
        <w:t>Numeric value conventions:</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Field type</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Storage format</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Example</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Advance rate / percentage threshold</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Whole-number integer</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90 = 90%</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Dollar threshold</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Raw integer</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500000 = $500,000</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Match confidence threshold</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Whole-number integer</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95 = 95% (consistent with matching_config)</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Snapshot frequency</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Integer (days)</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30 = monthly</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Audit retention</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Integer (years)</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7 = 7 years</w:t>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Text / mode values</w:t>
            </w:r>
          </w:p>
        </w:tc>
        <w:tc>
          <w:tcPr>
            <w:tcW w:w="3402"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String unchanged</w:t>
            </w:r>
          </w:p>
        </w:tc>
        <w:tc>
          <w:tcPr>
            <w:tcW w:w="3402"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"Exclude", "BBB- / Baa3"</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EligRule rows with numeric values carry a unit discriminator ('%' or '$'); mode/behaviour rows omit it. This allows the calculation engine to interpret values without hard-coding knowledge of each rule by ID.</w:t>
      </w:r>
    </w:p>
    <w:p>
      <w:pPr>
        <w:pStyle w:val="Normal"/>
        <w:spacing w:lineRule="exact" w:line="290" w:before="0" w:after="105"/>
        <w:rPr>
          <w:color w:val="292929"/>
          <w:sz w:val="20"/>
          <w:szCs w:val="20"/>
        </w:rPr>
      </w:pPr>
      <w:r>
        <w:rPr>
          <w:color w:val="292929"/>
          <w:sz w:val="20"/>
          <w:szCs w:val="20"/>
        </w:rPr>
        <w:t>Runtime access: ConfigService.load() (@PostConstruct) reads all rows into a ConcurrentHashMap&lt;String, JsonNode&gt; on every API startup. All reads hit the cache; writes via ConfigService.put() update both the DB and the cache atomically. JSONB ↔ JsonNode handled via @JdbcTypeCode(SqlTypes.JSON) on ConfigEntry.value.</w:t>
      </w:r>
    </w:p>
    <w:p>
      <w:pPr>
        <w:pStyle w:val="Normal"/>
        <w:spacing w:lineRule="exact" w:line="290" w:before="0" w:after="105"/>
        <w:rPr>
          <w:color w:val="292929"/>
          <w:sz w:val="20"/>
          <w:szCs w:val="20"/>
        </w:rPr>
      </w:pPr>
      <w:r>
        <w:rPr>
          <w:color w:val="292929"/>
          <w:sz w:val="20"/>
          <w:szCs w:val="20"/>
        </w:rPr>
        <w:t>---</w:t>
      </w:r>
    </w:p>
    <w:p>
      <w:pPr>
        <w:pStyle w:val="Normal"/>
        <w:rPr/>
      </w:pPr>
      <w:r>
        <w:rPr/>
      </w:r>
      <w:r>
        <w:br w:type="page"/>
      </w:r>
    </w:p>
    <w:p>
      <w:pPr>
        <w:pStyle w:val="Heading1"/>
        <w:pBdr>
          <w:bottom w:val="single" w:sz="8" w:space="0" w:color="C00000"/>
        </w:pBdr>
        <w:spacing w:before="260" w:after="100"/>
        <w:rPr>
          <w:color w:val="292929"/>
        </w:rPr>
      </w:pPr>
      <w:r>
        <w:rPr>
          <w:color w:val="292929"/>
        </w:rPr>
        <w:t>5. API Routes</w:t>
      </w:r>
    </w:p>
    <w:p>
      <w:pPr>
        <w:pStyle w:val="Normal"/>
        <w:spacing w:lineRule="exact" w:line="290" w:before="0" w:after="105"/>
        <w:rPr>
          <w:color w:val="292929"/>
          <w:sz w:val="20"/>
          <w:szCs w:val="20"/>
        </w:rPr>
      </w:pPr>
      <w:r>
        <w:rPr>
          <w:color w:val="292929"/>
          <w:sz w:val="20"/>
          <w:szCs w:val="20"/>
        </w:rPr>
        <w:t>Base path: /api. Full OpenAPI 3.0 specification: pe-sub-docs/openapi.yaml v0.8.0 (includes security schemes). API test collection: pe-sub-docs/pe-sub-platform.postman_collection.json (Postman v2.1; imports into Talend API Tester; carries X-Auth-User / X-Auth-Roles headers on all protected requests).</w:t>
      </w:r>
    </w:p>
    <w:p>
      <w:pPr>
        <w:pStyle w:val="Normal"/>
        <w:spacing w:lineRule="exact" w:line="290" w:before="0" w:after="105"/>
        <w:rPr>
          <w:color w:val="292929"/>
          <w:sz w:val="20"/>
          <w:szCs w:val="20"/>
        </w:rPr>
      </w:pPr>
      <w:r>
        <w:rPr>
          <w:color w:val="292929"/>
          <w:sz w:val="20"/>
          <w:szCs w:val="20"/>
        </w:rPr>
        <w:t>Status legend: ✅ implemented · 🔲 planned</w:t>
      </w:r>
    </w:p>
    <w:p>
      <w:pPr>
        <w:pStyle w:val="Heading2"/>
        <w:spacing w:before="180" w:after="100"/>
        <w:rPr>
          <w:color w:val="454545"/>
        </w:rPr>
      </w:pPr>
      <w:r>
        <w:rPr>
          <w:color w:val="454545"/>
        </w:rPr>
        <w:t>Security model (implemented)</w:t>
      </w:r>
    </w:p>
    <w:p>
      <w:pPr>
        <w:pStyle w:val="Normal"/>
        <w:spacing w:lineRule="exact" w:line="290" w:before="0" w:after="105"/>
        <w:rPr>
          <w:color w:val="292929"/>
          <w:sz w:val="20"/>
          <w:szCs w:val="20"/>
        </w:rPr>
      </w:pPr>
      <w:r>
        <w:rPr>
          <w:color w:val="292929"/>
          <w:sz w:val="20"/>
          <w:szCs w:val="20"/>
        </w:rPr>
        <w:t>Stateless header/token security (SecurityConfig + GatewayAuthenticationFilter), controlled by app.security.mode (APP_SECURITY_MODE env var):</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Mode</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Identity source</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Use</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dev (default)</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Fixed identity local.analyst@ubs.dev with role ANALYST (app.security.dev-user / APP_SECURITY_DEV_USER)</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Local development — header-less UI works unchanged</w:t>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gateway</w:t>
            </w:r>
          </w:p>
        </w:tc>
        <w:tc>
          <w:tcPr>
            <w:tcW w:w="3402"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X-Auth-User / X-Auth-Roles headers injected by the SSO reverse proxy (Entra ID at the gateway)</w:t>
            </w:r>
          </w:p>
        </w:tc>
        <w:tc>
          <w:tcPr>
            <w:tcW w:w="3402"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Deployed environments — enabling enforcement is one config flag</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Roles: ANALYST (operator + configurator), ATM (Account/Transaction Manager — review authority), SERVICE (service-to-service). Authorization rules:</w:t>
      </w:r>
    </w:p>
    <w:tbl>
      <w:tblPr>
        <w:tblW w:w="5000" w:type="pct"/>
        <w:jc w:val="left"/>
        <w:tblInd w:w="0" w:type="dxa"/>
        <w:tblLayout w:type="fixed"/>
        <w:tblCellMar>
          <w:top w:w="80" w:type="dxa"/>
          <w:left w:w="100" w:type="dxa"/>
          <w:bottom w:w="80" w:type="dxa"/>
          <w:right w:w="100" w:type="dxa"/>
        </w:tblCellMar>
      </w:tblPr>
      <w:tblGrid>
        <w:gridCol w:w="5102"/>
        <w:gridCol w:w="5103"/>
      </w:tblGrid>
      <w:tr>
        <w:trPr>
          <w:tblHeader w:val="true"/>
          <w:cantSplit w:val="true"/>
        </w:trPr>
        <w:tc>
          <w:tcPr>
            <w:tcW w:w="51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Surface</w:t>
            </w:r>
          </w:p>
        </w:tc>
        <w:tc>
          <w:tcPr>
            <w:tcW w:w="5103"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Rule</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OPTIONS , /api/ping, /health, /actuator/health, /api/notifications/* (SSE — EventSource cannot send headers)</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Public</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POST /api/lpRecords/ingest</w:t>
            </w:r>
          </w:p>
        </w:tc>
        <w:tc>
          <w:tcPr>
            <w:tcW w:w="5103"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SERVICE only (pe-sub-extraction → pe-sub-api)</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PUT /api/config/; POST/PUT/PATCH/DELETE /api/field-mapping/; /api/bb-templates/**</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ANALYST only (RBAC matrix: ATM does not configure)</w:t>
            </w:r>
          </w:p>
        </w:tc>
      </w:tr>
      <w:tr>
        <w:trPr>
          <w:cantSplit w:val="true"/>
        </w:trPr>
        <w:tc>
          <w:tcPr>
            <w:tcW w:w="5102"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Everything else under /api/**</w:t>
            </w:r>
          </w:p>
        </w:tc>
        <w:tc>
          <w:tcPr>
            <w:tcW w:w="5103"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Any authenticated operator (ANALYST or ATM)</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Sessions and CSRF are disabled (stateless); unauthenticated requests receive 401, role failures 403. The 4-eye separation on submission completion remains a Phase-2 workflow control.</w:t>
      </w:r>
    </w:p>
    <w:p>
      <w:pPr>
        <w:pStyle w:val="Heading2"/>
        <w:spacing w:before="180" w:after="100"/>
        <w:rPr>
          <w:color w:val="454545"/>
        </w:rPr>
      </w:pPr>
      <w:r>
        <w:rPr>
          <w:color w:val="454545"/>
        </w:rPr>
        <w:t>Facilities</w:t>
      </w:r>
    </w:p>
    <w:tbl>
      <w:tblPr>
        <w:tblW w:w="5000" w:type="pct"/>
        <w:jc w:val="left"/>
        <w:tblInd w:w="0" w:type="dxa"/>
        <w:tblLayout w:type="fixed"/>
        <w:tblCellMar>
          <w:top w:w="80" w:type="dxa"/>
          <w:left w:w="100" w:type="dxa"/>
          <w:bottom w:w="80" w:type="dxa"/>
          <w:right w:w="100" w:type="dxa"/>
        </w:tblCellMar>
      </w:tblPr>
      <w:tblGrid>
        <w:gridCol w:w="2551"/>
        <w:gridCol w:w="2551"/>
        <w:gridCol w:w="2552"/>
        <w:gridCol w:w="2551"/>
      </w:tblGrid>
      <w:tr>
        <w:trPr>
          <w:tblHeader w:val="true"/>
          <w:cantSplit w:val="true"/>
        </w:trPr>
        <w:tc>
          <w:tcPr>
            <w:tcW w:w="2551"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Method</w:t>
            </w:r>
          </w:p>
        </w:tc>
        <w:tc>
          <w:tcPr>
            <w:tcW w:w="255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Path</w:t>
            </w:r>
          </w:p>
        </w:tc>
        <w:tc>
          <w:tcPr>
            <w:tcW w:w="255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Status</w:t>
            </w:r>
          </w:p>
        </w:tc>
        <w:tc>
          <w:tcPr>
            <w:tcW w:w="2551"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Description</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/api/facilities</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List all facilities ordered by name</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/api/facilities/:id</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Single facility</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POST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/api/facilities</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Create facility; body: { name, agentBank }</w:t>
            </w:r>
          </w:p>
        </w:tc>
      </w:tr>
      <w:tr>
        <w:trPr>
          <w:cantSplit w:val="true"/>
        </w:trPr>
        <w:tc>
          <w:tcPr>
            <w:tcW w:w="2551"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PATCH</w:t>
            </w:r>
          </w:p>
        </w:tc>
        <w:tc>
          <w:tcPr>
            <w:tcW w:w="2551"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/api/facilities/:id/status</w:t>
            </w:r>
          </w:p>
        </w:tc>
        <w:tc>
          <w:tcPr>
            <w:tcW w:w="2552"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Update facility status</w:t>
            </w:r>
          </w:p>
        </w:tc>
      </w:tr>
    </w:tbl>
    <w:p>
      <w:pPr>
        <w:pStyle w:val="Normal"/>
        <w:spacing w:before="0" w:after="120"/>
        <w:rPr/>
      </w:pPr>
      <w:r>
        <w:rPr/>
      </w:r>
    </w:p>
    <w:p>
      <w:pPr>
        <w:pStyle w:val="Heading2"/>
        <w:spacing w:before="180" w:after="100"/>
        <w:rPr>
          <w:color w:val="454545"/>
        </w:rPr>
      </w:pPr>
      <w:r>
        <w:rPr>
          <w:color w:val="454545"/>
        </w:rPr>
        <w:t>LPs</w:t>
      </w:r>
    </w:p>
    <w:tbl>
      <w:tblPr>
        <w:tblW w:w="5000" w:type="pct"/>
        <w:jc w:val="left"/>
        <w:tblInd w:w="0" w:type="dxa"/>
        <w:tblLayout w:type="fixed"/>
        <w:tblCellMar>
          <w:top w:w="80" w:type="dxa"/>
          <w:left w:w="100" w:type="dxa"/>
          <w:bottom w:w="80" w:type="dxa"/>
          <w:right w:w="100" w:type="dxa"/>
        </w:tblCellMar>
      </w:tblPr>
      <w:tblGrid>
        <w:gridCol w:w="2551"/>
        <w:gridCol w:w="2551"/>
        <w:gridCol w:w="2552"/>
        <w:gridCol w:w="2551"/>
      </w:tblGrid>
      <w:tr>
        <w:trPr>
          <w:tblHeader w:val="true"/>
          <w:cantSplit w:val="true"/>
        </w:trPr>
        <w:tc>
          <w:tcPr>
            <w:tcW w:w="2551"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Method</w:t>
            </w:r>
          </w:p>
        </w:tc>
        <w:tc>
          <w:tcPr>
            <w:tcW w:w="255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Path</w:t>
            </w:r>
          </w:p>
        </w:tc>
        <w:tc>
          <w:tcPr>
            <w:tcW w:w="255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Status</w:t>
            </w:r>
          </w:p>
        </w:tc>
        <w:tc>
          <w:tcPr>
            <w:tcW w:w="2551"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Description</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/api/lpRecords</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List LPs — query params: facilityId, cls, search</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/api/lpRecords/:id</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Single LP record</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PATCH</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/api/lpRecords/:id</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Update LP fields: cls, clsTag, abb, inc, rcl, notes</w:t>
            </w:r>
          </w:p>
        </w:tc>
      </w:tr>
      <w:tr>
        <w:trPr>
          <w:cantSplit w:val="true"/>
        </w:trPr>
        <w:tc>
          <w:tcPr>
            <w:tcW w:w="2551"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POST</w:t>
            </w:r>
          </w:p>
        </w:tc>
        <w:tc>
          <w:tcPr>
            <w:tcW w:w="2551"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/api/lpRecords/ingest</w:t>
            </w:r>
          </w:p>
        </w:tc>
        <w:tc>
          <w:tcPr>
            <w:tcW w:w="2552"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4"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Receive extraction payload from pe-sub-extraction; run fuzzy name matching; write financial fields or queue for credit officer review (see below)</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 POST /api/lpRecords/ingest — actions</w:t>
      </w:r>
    </w:p>
    <w:p>
      <w:pPr>
        <w:pStyle w:val="Normal"/>
        <w:spacing w:lineRule="exact" w:line="290" w:before="0" w:after="105"/>
        <w:rPr>
          <w:color w:val="292929"/>
          <w:sz w:val="20"/>
          <w:szCs w:val="20"/>
        </w:rPr>
      </w:pPr>
      <w:r>
        <w:rPr>
          <w:color w:val="292929"/>
          <w:sz w:val="20"/>
          <w:szCs w:val="20"/>
        </w:rPr>
        <w:t>LpIngestService builds a Prepared index over the facility's LP names once (prepare), then for each extracted LP row runs matchBest against it (exact-match fast path + length-band pruning; see §5 Matching and Decision 46):</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Action</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Condition</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Effect</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Updated</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Score ≥ auto-accept threshold AND !requiresReview AND all fields ≥ 70% confidence</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Writes aum, capCommit, uc, agentRate, agentConc on the matched LP</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Queued</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Medium-confidence match OR low-confidence extraction fields</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No data written; returned for credit officer review</w:t>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Skipped</w:t>
            </w:r>
          </w:p>
        </w:tc>
        <w:tc>
          <w:tcPr>
            <w:tcW w:w="3402"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Score below review threshold or no investor name extracted</w:t>
            </w:r>
          </w:p>
        </w:tc>
        <w:tc>
          <w:tcPr>
            <w:tcW w:w="3402"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No action</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Writes an LP Data Updated audit event when at least one LP is updated.</w:t>
      </w:r>
    </w:p>
    <w:p>
      <w:pPr>
        <w:pStyle w:val="Heading2"/>
        <w:spacing w:before="180" w:after="100"/>
        <w:rPr>
          <w:color w:val="454545"/>
        </w:rPr>
      </w:pPr>
      <w:r>
        <w:rPr>
          <w:color w:val="454545"/>
        </w:rPr>
        <w:t>Borrowing Base</w:t>
      </w:r>
    </w:p>
    <w:tbl>
      <w:tblPr>
        <w:tblW w:w="5000" w:type="pct"/>
        <w:jc w:val="left"/>
        <w:tblInd w:w="0" w:type="dxa"/>
        <w:tblLayout w:type="fixed"/>
        <w:tblCellMar>
          <w:top w:w="80" w:type="dxa"/>
          <w:left w:w="100" w:type="dxa"/>
          <w:bottom w:w="80" w:type="dxa"/>
          <w:right w:w="100" w:type="dxa"/>
        </w:tblCellMar>
      </w:tblPr>
      <w:tblGrid>
        <w:gridCol w:w="2551"/>
        <w:gridCol w:w="2551"/>
        <w:gridCol w:w="2552"/>
        <w:gridCol w:w="2551"/>
      </w:tblGrid>
      <w:tr>
        <w:trPr>
          <w:tblHeader w:val="true"/>
          <w:cantSplit w:val="true"/>
        </w:trPr>
        <w:tc>
          <w:tcPr>
            <w:tcW w:w="2551"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Method</w:t>
            </w:r>
          </w:p>
        </w:tc>
        <w:tc>
          <w:tcPr>
            <w:tcW w:w="255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Path</w:t>
            </w:r>
          </w:p>
        </w:tc>
        <w:tc>
          <w:tcPr>
            <w:tcW w:w="255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Status</w:t>
            </w:r>
          </w:p>
        </w:tc>
        <w:tc>
          <w:tcPr>
            <w:tcW w:w="2551"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Description</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POST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/api/bb/run/:facilityId</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Compute Shadow BB (Java engine), persist snapshot, update last_run_at</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/api/bb/snapshots/:facilityId</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All snapshots for a facility ordered by calculatedAt</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/api/bb/snapshots/:facilityId/latest</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Latest snapshot; 204 No Content when none exists</w:t>
            </w:r>
          </w:p>
        </w:tc>
      </w:tr>
      <w:tr>
        <w:trPr>
          <w:cantSplit w:val="true"/>
        </w:trPr>
        <w:tc>
          <w:tcPr>
            <w:tcW w:w="2551"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/api/bb/summary-ext/:facilityId</w:t>
            </w:r>
          </w:p>
        </w:tc>
        <w:tc>
          <w:tcPr>
            <w:tcW w:w="2552"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Extended portfolio summary — LP totals, IG ratio, top-10/20 concentration, classification breakdown, latest snapshot BB figures</w:t>
            </w:r>
          </w:p>
        </w:tc>
      </w:tr>
    </w:tbl>
    <w:p>
      <w:pPr>
        <w:pStyle w:val="Normal"/>
        <w:spacing w:before="0" w:after="120"/>
        <w:rPr/>
      </w:pPr>
      <w:r>
        <w:rPr/>
      </w:r>
    </w:p>
    <w:p>
      <w:pPr>
        <w:pStyle w:val="Heading2"/>
        <w:spacing w:before="180" w:after="100"/>
        <w:rPr>
          <w:color w:val="454545"/>
        </w:rPr>
      </w:pPr>
      <w:r>
        <w:rPr>
          <w:color w:val="454545"/>
        </w:rPr>
        <w:t>Reports</w:t>
      </w:r>
    </w:p>
    <w:tbl>
      <w:tblPr>
        <w:tblW w:w="5000" w:type="pct"/>
        <w:jc w:val="left"/>
        <w:tblInd w:w="0" w:type="dxa"/>
        <w:tblLayout w:type="fixed"/>
        <w:tblCellMar>
          <w:top w:w="80" w:type="dxa"/>
          <w:left w:w="100" w:type="dxa"/>
          <w:bottom w:w="80" w:type="dxa"/>
          <w:right w:w="100" w:type="dxa"/>
        </w:tblCellMar>
      </w:tblPr>
      <w:tblGrid>
        <w:gridCol w:w="2551"/>
        <w:gridCol w:w="2551"/>
        <w:gridCol w:w="2552"/>
        <w:gridCol w:w="2551"/>
      </w:tblGrid>
      <w:tr>
        <w:trPr>
          <w:tblHeader w:val="true"/>
          <w:cantSplit w:val="true"/>
        </w:trPr>
        <w:tc>
          <w:tcPr>
            <w:tcW w:w="2551"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Method</w:t>
            </w:r>
          </w:p>
        </w:tc>
        <w:tc>
          <w:tcPr>
            <w:tcW w:w="255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Path</w:t>
            </w:r>
          </w:p>
        </w:tc>
        <w:tc>
          <w:tcPr>
            <w:tcW w:w="255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Status</w:t>
            </w:r>
          </w:p>
        </w:tc>
        <w:tc>
          <w:tcPr>
            <w:tcW w:w="2551"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Description</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/api/reports/collateral/:facilityId</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Collateral &amp; Coverage — BB certificate payload from a snapshot; ?snapshotId= targets a specific snapshot (default latest)</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/api/reports/concentration/:facilityId</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Latest breach list (Concentration Exposures)</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/api/reports/ear/:facilityId</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Effective Advance Rate history across all snapshots</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/api/reports/agent-banks</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UBS exposure aggregated by agent bank from each facility's latest snapshot</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/api/reports/history</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Report generation history (50 most recent, newest first)</w:t>
            </w:r>
          </w:p>
        </w:tc>
      </w:tr>
      <w:tr>
        <w:trPr>
          <w:cantSplit w:val="true"/>
        </w:trPr>
        <w:tc>
          <w:tcPr>
            <w:tcW w:w="2551"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POST</w:t>
            </w:r>
          </w:p>
        </w:tc>
        <w:tc>
          <w:tcPr>
            <w:tcW w:w="2551"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/api/reports/history</w:t>
            </w:r>
          </w:p>
        </w:tc>
        <w:tc>
          <w:tcPr>
            <w:tcW w:w="2552"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Record a generated report (report_history row)</w:t>
            </w:r>
          </w:p>
        </w:tc>
      </w:tr>
    </w:tbl>
    <w:p>
      <w:pPr>
        <w:pStyle w:val="Normal"/>
        <w:spacing w:before="0" w:after="120"/>
        <w:rPr/>
      </w:pPr>
      <w:r>
        <w:rPr/>
      </w:r>
    </w:p>
    <w:p>
      <w:pPr>
        <w:pStyle w:val="Heading2"/>
        <w:spacing w:before="180" w:after="100"/>
        <w:rPr>
          <w:color w:val="454545"/>
        </w:rPr>
      </w:pPr>
      <w:r>
        <w:rPr>
          <w:color w:val="454545"/>
        </w:rPr>
        <w:t>Submissions</w:t>
      </w:r>
    </w:p>
    <w:tbl>
      <w:tblPr>
        <w:tblW w:w="5000" w:type="pct"/>
        <w:jc w:val="left"/>
        <w:tblInd w:w="0" w:type="dxa"/>
        <w:tblLayout w:type="fixed"/>
        <w:tblCellMar>
          <w:top w:w="80" w:type="dxa"/>
          <w:left w:w="100" w:type="dxa"/>
          <w:bottom w:w="80" w:type="dxa"/>
          <w:right w:w="100" w:type="dxa"/>
        </w:tblCellMar>
      </w:tblPr>
      <w:tblGrid>
        <w:gridCol w:w="2551"/>
        <w:gridCol w:w="2551"/>
        <w:gridCol w:w="2552"/>
        <w:gridCol w:w="2551"/>
      </w:tblGrid>
      <w:tr>
        <w:trPr>
          <w:tblHeader w:val="true"/>
          <w:cantSplit w:val="true"/>
        </w:trPr>
        <w:tc>
          <w:tcPr>
            <w:tcW w:w="2551"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Method</w:t>
            </w:r>
          </w:p>
        </w:tc>
        <w:tc>
          <w:tcPr>
            <w:tcW w:w="255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Path</w:t>
            </w:r>
          </w:p>
        </w:tc>
        <w:tc>
          <w:tcPr>
            <w:tcW w:w="255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Status</w:t>
            </w:r>
          </w:p>
        </w:tc>
        <w:tc>
          <w:tcPr>
            <w:tcW w:w="2551"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Description</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/api/submissions</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List all submissions; filter by ?facilityId=; ordered newest first; Processing status filtered out</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POST</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/api/submissions</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Create submission — multipart: facilityId, agentBank, periodMonth, file, notes?; triggers pe-sub-extraction immediately; saves file to ${app.uploads.path}</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/api/submissions/:id</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Single submission record or 404</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POST</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/api/submissions/:id/abort</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Abort — deletes file, submission_extractions row, match queue entries; resets facility status if no other active submissions. 204 No Content; 409 if already Processed or Aborted</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POST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/api/submissions/:id/confirm</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Advances to wizardStep=4; auto-learns BB template for the agent bank; rebuilds match_queue_entries. Returns { templateSaved: boolean, agentBank: string }</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PATCH</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/api/submissions/:id/shadow-bb-state</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Advances to wizardStep=5; persists shadow_bb_overrides (LP classification/rate overrides). Body: { overrides?: object }. Returns updated Submission</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/api/submissions/:id/extracted-lps</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Formatted LP rows from submission_extractions.extracted_lps JSONB — includes agentBBFmt, pctBBFmt, conf (0–100)</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/api/submissions/:id/field-map</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Array of { extracted, canonical, group, note, tier } — one per recognised column</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/api/submissions/:id/doc-recognition</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 document, format, tablesIdentified, tableLocation, headerRow, totalRows, mappedColumns, unmatchedColumns, headerInfo }</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/api/submissions/:id/unrecognized-columns</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Column headers that could not be mapped to any canonical field</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POST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/api/submissions/:id/remap</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Body: { extractedHeader, canonical }. Creates a User-tier alias then immediately re-extracts. 200 on success; 502 if alias saved but extraction unreachable</w:t>
            </w:r>
          </w:p>
        </w:tc>
      </w:tr>
      <w:tr>
        <w:trPr>
          <w:cantSplit w:val="true"/>
        </w:trPr>
        <w:tc>
          <w:tcPr>
            <w:tcW w:w="2551"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POST</w:t>
            </w:r>
          </w:p>
        </w:tc>
        <w:tc>
          <w:tcPr>
            <w:tcW w:w="2551"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/api/submissions/:id/reextract</w:t>
            </w:r>
          </w:p>
        </w:tc>
        <w:tc>
          <w:tcPr>
            <w:tcW w:w="2552"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Re-runs the full extraction pipeline. 204 No Content; 502 if pe-sub-extraction unreachable</w:t>
            </w:r>
          </w:p>
        </w:tc>
      </w:tr>
    </w:tbl>
    <w:p>
      <w:pPr>
        <w:pStyle w:val="Normal"/>
        <w:spacing w:before="0" w:after="120"/>
        <w:rPr/>
      </w:pPr>
      <w:r>
        <w:rPr/>
      </w:r>
    </w:p>
    <w:p>
      <w:pPr>
        <w:pStyle w:val="Heading2"/>
        <w:spacing w:before="180" w:after="100"/>
        <w:rPr>
          <w:color w:val="454545"/>
        </w:rPr>
      </w:pPr>
      <w:r>
        <w:rPr>
          <w:color w:val="454545"/>
        </w:rPr>
        <w:t>Audit</w:t>
      </w:r>
    </w:p>
    <w:tbl>
      <w:tblPr>
        <w:tblW w:w="5000" w:type="pct"/>
        <w:jc w:val="left"/>
        <w:tblInd w:w="0" w:type="dxa"/>
        <w:tblLayout w:type="fixed"/>
        <w:tblCellMar>
          <w:top w:w="80" w:type="dxa"/>
          <w:left w:w="100" w:type="dxa"/>
          <w:bottom w:w="80" w:type="dxa"/>
          <w:right w:w="100" w:type="dxa"/>
        </w:tblCellMar>
      </w:tblPr>
      <w:tblGrid>
        <w:gridCol w:w="2551"/>
        <w:gridCol w:w="2551"/>
        <w:gridCol w:w="2552"/>
        <w:gridCol w:w="2551"/>
      </w:tblGrid>
      <w:tr>
        <w:trPr>
          <w:tblHeader w:val="true"/>
          <w:cantSplit w:val="true"/>
        </w:trPr>
        <w:tc>
          <w:tcPr>
            <w:tcW w:w="2551"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Method</w:t>
            </w:r>
          </w:p>
        </w:tc>
        <w:tc>
          <w:tcPr>
            <w:tcW w:w="255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Path</w:t>
            </w:r>
          </w:p>
        </w:tc>
        <w:tc>
          <w:tcPr>
            <w:tcW w:w="255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Status</w:t>
            </w:r>
          </w:p>
        </w:tc>
        <w:tc>
          <w:tcPr>
            <w:tcW w:w="2551"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Description</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/api/audit</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All audit log entries, newest first</w:t>
            </w:r>
          </w:p>
        </w:tc>
      </w:tr>
      <w:tr>
        <w:trPr>
          <w:cantSplit w:val="true"/>
        </w:trPr>
        <w:tc>
          <w:tcPr>
            <w:tcW w:w="2551"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POST</w:t>
            </w:r>
          </w:p>
        </w:tc>
        <w:tc>
          <w:tcPr>
            <w:tcW w:w="2551"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/api/audit/login</w:t>
            </w:r>
          </w:p>
        </w:tc>
        <w:tc>
          <w:tcPr>
            <w:tcW w:w="2552"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Record a Login event; IP resolved server-side</w:t>
            </w:r>
          </w:p>
        </w:tc>
      </w:tr>
    </w:tbl>
    <w:p>
      <w:pPr>
        <w:pStyle w:val="Normal"/>
        <w:spacing w:before="0" w:after="120"/>
        <w:rPr/>
      </w:pPr>
      <w:r>
        <w:rPr/>
      </w:r>
    </w:p>
    <w:p>
      <w:pPr>
        <w:pStyle w:val="Heading2"/>
        <w:spacing w:before="180" w:after="100"/>
        <w:rPr>
          <w:color w:val="454545"/>
        </w:rPr>
      </w:pPr>
      <w:r>
        <w:rPr>
          <w:color w:val="454545"/>
        </w:rPr>
        <w:t>Extraction (pe-sub-extraction, port 3002)</w:t>
      </w:r>
    </w:p>
    <w:tbl>
      <w:tblPr>
        <w:tblW w:w="5000" w:type="pct"/>
        <w:jc w:val="left"/>
        <w:tblInd w:w="0" w:type="dxa"/>
        <w:tblLayout w:type="fixed"/>
        <w:tblCellMar>
          <w:top w:w="80" w:type="dxa"/>
          <w:left w:w="100" w:type="dxa"/>
          <w:bottom w:w="80" w:type="dxa"/>
          <w:right w:w="100" w:type="dxa"/>
        </w:tblCellMar>
      </w:tblPr>
      <w:tblGrid>
        <w:gridCol w:w="2551"/>
        <w:gridCol w:w="2551"/>
        <w:gridCol w:w="2552"/>
        <w:gridCol w:w="2551"/>
      </w:tblGrid>
      <w:tr>
        <w:trPr>
          <w:tblHeader w:val="true"/>
          <w:cantSplit w:val="true"/>
        </w:trPr>
        <w:tc>
          <w:tcPr>
            <w:tcW w:w="2551"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Method</w:t>
            </w:r>
          </w:p>
        </w:tc>
        <w:tc>
          <w:tcPr>
            <w:tcW w:w="255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Path</w:t>
            </w:r>
          </w:p>
        </w:tc>
        <w:tc>
          <w:tcPr>
            <w:tcW w:w="255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Status</w:t>
            </w:r>
          </w:p>
        </w:tc>
        <w:tc>
          <w:tcPr>
            <w:tcW w:w="2551"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Description</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/health</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Service health check</w:t>
            </w:r>
          </w:p>
        </w:tc>
      </w:tr>
      <w:tr>
        <w:trPr>
          <w:cantSplit w:val="true"/>
        </w:trPr>
        <w:tc>
          <w:tcPr>
            <w:tcW w:w="2551"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POST</w:t>
            </w:r>
          </w:p>
        </w:tc>
        <w:tc>
          <w:tcPr>
            <w:tcW w:w="2551"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/api/extract</w:t>
            </w:r>
          </w:p>
        </w:tc>
        <w:tc>
          <w:tcPr>
            <w:tcW w:w="2552"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Parse XLSX/XLS/CSV agent schedule; return ExtractionResult</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POST /api/extract accepts multipart:</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Field</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Required</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Description</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facilityId</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yes</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Target facility ID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file</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yes</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XLSX, XLS, or CSV spreadsheet (max 50 MB)</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forward</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no</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Forward result to pe-sub-api/lpRecords/ingest (default true; pe-sub-api always passes false)</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aliasConfig</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no</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JSON alias map built from live FM Dictionary; overrides built-in aliases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sheetNameHint</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no</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Preferred sheet name; falls back to heuristic if not found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headerRowHint</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no</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Known header row index; skips header detection when provided</w:t>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classificationConfig</w:t>
            </w:r>
          </w:p>
        </w:tc>
        <w:tc>
          <w:tcPr>
            <w:tcW w:w="3402"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no</w:t>
            </w:r>
          </w:p>
        </w:tc>
        <w:tc>
          <w:tcPr>
            <w:tcW w:w="3402"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JSON { "header text": "Agent LP Classification" } map for templates that group LPs into classification section rows; built by ClassificationConfigBuilder from bb_template_groups. Merged on top of the standard Agent LP Classification values, which are always recognised</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Template format is auto-detected from keywords in the first 5 rows. Header row is detected by highest canonical-alias match score across rows 0–9.</w:t>
      </w:r>
    </w:p>
    <w:p>
      <w:pPr>
        <w:pStyle w:val="Normal"/>
        <w:spacing w:lineRule="exact" w:line="290" w:before="0" w:after="105"/>
        <w:rPr>
          <w:color w:val="292929"/>
          <w:sz w:val="20"/>
          <w:szCs w:val="20"/>
        </w:rPr>
      </w:pPr>
      <w:r>
        <w:rPr>
          <w:color w:val="292929"/>
          <w:sz w:val="20"/>
          <w:szCs w:val="20"/>
        </w:rPr>
        <w:t>Agent LP Classification section rows. Many Agent BB templates separate LPs into classification groups using header rows (e.g. a row reading Designated PWM above the LPs in that class) rather than a per-row column, interleaving sub/total rows that must be skipped. ClassificationRowDetector recognises a row whose name cell matches a known group header, treats it as a section marker (not an LP), and fills its classification down onto the AGENT_LP_CLASSIFICATION field of every LP beneath it until the next header. A populated per-row classification column always wins over the inherited section value; sub/total rows remain filtered.</w:t>
      </w:r>
    </w:p>
    <w:p>
      <w:pPr>
        <w:pStyle w:val="Heading2"/>
        <w:spacing w:before="180" w:after="100"/>
        <w:rPr>
          <w:color w:val="454545"/>
        </w:rPr>
      </w:pPr>
      <w:r>
        <w:rPr>
          <w:color w:val="454545"/>
        </w:rPr>
        <w:t>Field Mapping</w:t>
      </w:r>
    </w:p>
    <w:tbl>
      <w:tblPr>
        <w:tblW w:w="5000" w:type="pct"/>
        <w:jc w:val="left"/>
        <w:tblInd w:w="0" w:type="dxa"/>
        <w:tblLayout w:type="fixed"/>
        <w:tblCellMar>
          <w:top w:w="80" w:type="dxa"/>
          <w:left w:w="100" w:type="dxa"/>
          <w:bottom w:w="80" w:type="dxa"/>
          <w:right w:w="100" w:type="dxa"/>
        </w:tblCellMar>
      </w:tblPr>
      <w:tblGrid>
        <w:gridCol w:w="2551"/>
        <w:gridCol w:w="2551"/>
        <w:gridCol w:w="2552"/>
        <w:gridCol w:w="2551"/>
      </w:tblGrid>
      <w:tr>
        <w:trPr>
          <w:tblHeader w:val="true"/>
          <w:cantSplit w:val="true"/>
        </w:trPr>
        <w:tc>
          <w:tcPr>
            <w:tcW w:w="2551"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Method</w:t>
            </w:r>
          </w:p>
        </w:tc>
        <w:tc>
          <w:tcPr>
            <w:tcW w:w="255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Path</w:t>
            </w:r>
          </w:p>
        </w:tc>
        <w:tc>
          <w:tcPr>
            <w:tcW w:w="255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Status</w:t>
            </w:r>
          </w:p>
        </w:tc>
        <w:tc>
          <w:tcPr>
            <w:tcW w:w="2551"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Description</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/api/field-mapping/alias-groups</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Alias-group dictionary grouped by LP Master section</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/api/field-mapping/canonical-fields</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All canonical fields as { value, label, extractable }[]</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/api/field-mapping/blocklist</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Global blocklist entries</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/api/field-mapping/suggestions</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2CC" w:val="clear"/>
          </w:tcPr>
          <w:p>
            <w:pPr>
              <w:pStyle w:val="Normal"/>
              <w:widowControl w:val="false"/>
              <w:spacing w:before="0" w:after="0"/>
              <w:rPr>
                <w:b w:val="false"/>
                <w:b w:val="false"/>
                <w:bCs w:val="false"/>
                <w:color w:val="292929"/>
                <w:sz w:val="17"/>
                <w:szCs w:val="17"/>
              </w:rPr>
            </w:pPr>
            <w:r>
              <w:rPr>
                <w:b w:val="false"/>
                <w:bCs w:val="false"/>
                <w:color w:val="292929"/>
                <w:sz w:val="17"/>
                <w:szCs w:val="17"/>
              </w:rPr>
              <w:t>Pending alias suggestions</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POST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/api/field-mapping/suggestions</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Submit a new alias suggestion</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POST</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/api/field-mapping/aliases</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Add an alias; writes Field Mapping Change audit event</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DELETE</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/api/field-mapping/aliases/:id</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Remove an alias; writes audit event</w:t>
            </w:r>
          </w:p>
        </w:tc>
      </w:tr>
      <w:tr>
        <w:trPr>
          <w:cantSplit w:val="true"/>
        </w:trPr>
        <w:tc>
          <w:tcPr>
            <w:tcW w:w="2551"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PATCH</w:t>
            </w:r>
          </w:p>
        </w:tc>
        <w:tc>
          <w:tcPr>
            <w:tcW w:w="2551"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/api/field-mapping/aliases/:id</w:t>
            </w:r>
          </w:p>
        </w:tc>
        <w:tc>
          <w:tcPr>
            <w:tcW w:w="2552"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Update alias text and/or bank; writes audit event</w:t>
            </w:r>
          </w:p>
        </w:tc>
      </w:tr>
    </w:tbl>
    <w:p>
      <w:pPr>
        <w:pStyle w:val="Normal"/>
        <w:spacing w:before="0" w:after="120"/>
        <w:rPr/>
      </w:pPr>
      <w:r>
        <w:rPr/>
      </w:r>
    </w:p>
    <w:p>
      <w:pPr>
        <w:pStyle w:val="Heading2"/>
        <w:spacing w:before="180" w:after="100"/>
        <w:rPr>
          <w:color w:val="454545"/>
        </w:rPr>
      </w:pPr>
      <w:r>
        <w:rPr>
          <w:color w:val="454545"/>
        </w:rPr>
        <w:t>Matching</w:t>
      </w:r>
    </w:p>
    <w:tbl>
      <w:tblPr>
        <w:tblW w:w="5000" w:type="pct"/>
        <w:jc w:val="left"/>
        <w:tblInd w:w="0" w:type="dxa"/>
        <w:tblLayout w:type="fixed"/>
        <w:tblCellMar>
          <w:top w:w="80" w:type="dxa"/>
          <w:left w:w="100" w:type="dxa"/>
          <w:bottom w:w="80" w:type="dxa"/>
          <w:right w:w="100" w:type="dxa"/>
        </w:tblCellMar>
      </w:tblPr>
      <w:tblGrid>
        <w:gridCol w:w="2551"/>
        <w:gridCol w:w="2551"/>
        <w:gridCol w:w="2552"/>
        <w:gridCol w:w="2551"/>
      </w:tblGrid>
      <w:tr>
        <w:trPr>
          <w:tblHeader w:val="true"/>
          <w:cantSplit w:val="true"/>
        </w:trPr>
        <w:tc>
          <w:tcPr>
            <w:tcW w:w="2551"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Method</w:t>
            </w:r>
          </w:p>
        </w:tc>
        <w:tc>
          <w:tcPr>
            <w:tcW w:w="255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Path</w:t>
            </w:r>
          </w:p>
        </w:tc>
        <w:tc>
          <w:tcPr>
            <w:tcW w:w="255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Status</w:t>
            </w:r>
          </w:p>
        </w:tc>
        <w:tc>
          <w:tcPr>
            <w:tcW w:w="2551"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Description</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POST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/api/matching/test</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Body: { name }. Returns { input, normalised, matches: [{ name, score, action }] } — all LP names scored by Jaro-Winkler + Levenshtein</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/api/matching/queue</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Match queue; ?submissionId= optional — omit to return all entries</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PATCH</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/api/matching/queue/:id</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Body: { decision?, masterName? }. Decision stored capitalised (Accepted/Rejected/Manual). masterName sets override and forces Accepted</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/api/matching/thresholds</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Use GET /api/config/matching instead</w:t>
            </w:r>
          </w:p>
        </w:tc>
      </w:tr>
      <w:tr>
        <w:trPr>
          <w:cantSplit w:val="true"/>
        </w:trPr>
        <w:tc>
          <w:tcPr>
            <w:tcW w:w="2551"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PATCH</w:t>
            </w:r>
          </w:p>
        </w:tc>
        <w:tc>
          <w:tcPr>
            <w:tcW w:w="2551"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/api/matching/thresholds</w:t>
            </w:r>
          </w:p>
        </w:tc>
        <w:tc>
          <w:tcPr>
            <w:tcW w:w="2552"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Use PUT /api/config/matching instead</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Matching algorithm (MatchingService): Jaro-Winkler + Levenshtein, combined as jwWeight × JW + levWeight × Lev. Both strings are normalised before scoring: abbreviation expansion → case fold → legal suffix stripping → punctuation removal. All parameters are read live from matching_config in the DB cache.</w:t>
      </w:r>
    </w:p>
    <w:p>
      <w:pPr>
        <w:pStyle w:val="Normal"/>
        <w:spacing w:lineRule="exact" w:line="290" w:before="0" w:after="105"/>
        <w:rPr>
          <w:color w:val="292929"/>
          <w:sz w:val="20"/>
          <w:szCs w:val="20"/>
        </w:rPr>
      </w:pPr>
      <w:r>
        <w:rPr>
          <w:color w:val="292929"/>
          <w:sz w:val="20"/>
          <w:szCs w:val="20"/>
        </w:rPr>
        <w:t>Performance — Prepared index (Decision 46): matching an upload's worth of rows against the bank-wide LP Master is optimised by building an immutable Prepared index once per upload (prepare(names)), then calling matchBest(name, prepared) per row. Prepared holds: the candidate list normalised once (with abbreviation/suffix regexes pre-compiled into Config); a normalized → first-original exact-match map (an identical name resolves in O(1) at score 100, e.g. re-uploading the same Agent BB); and a length-sorted index enabling a decision-safe length-band prefilter that skips candidates which provably cannot reach the review threshold. buildMatchQueueEntries (the confirm step) scores rows in parallel via parallelStream() (CPU-bound, row-independent, Prepared immutable). MatchingService.test() still does an exhaustive single-input scan; LpIngestService.ingest uses the same prepare/matchBest path (facility-scoped, sequential).</w:t>
      </w:r>
    </w:p>
    <w:p>
      <w:pPr>
        <w:pStyle w:val="Heading2"/>
        <w:spacing w:before="180" w:after="100"/>
        <w:rPr>
          <w:color w:val="454545"/>
        </w:rPr>
      </w:pPr>
      <w:r>
        <w:rPr>
          <w:color w:val="454545"/>
        </w:rPr>
        <w:t>Configuration</w:t>
      </w:r>
    </w:p>
    <w:tbl>
      <w:tblPr>
        <w:tblW w:w="5000" w:type="pct"/>
        <w:jc w:val="left"/>
        <w:tblInd w:w="0" w:type="dxa"/>
        <w:tblLayout w:type="fixed"/>
        <w:tblCellMar>
          <w:top w:w="80" w:type="dxa"/>
          <w:left w:w="100" w:type="dxa"/>
          <w:bottom w:w="80" w:type="dxa"/>
          <w:right w:w="100" w:type="dxa"/>
        </w:tblCellMar>
      </w:tblPr>
      <w:tblGrid>
        <w:gridCol w:w="2551"/>
        <w:gridCol w:w="2551"/>
        <w:gridCol w:w="2552"/>
        <w:gridCol w:w="2551"/>
      </w:tblGrid>
      <w:tr>
        <w:trPr>
          <w:tblHeader w:val="true"/>
          <w:cantSplit w:val="true"/>
        </w:trPr>
        <w:tc>
          <w:tcPr>
            <w:tcW w:w="2551"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Method</w:t>
            </w:r>
          </w:p>
        </w:tc>
        <w:tc>
          <w:tcPr>
            <w:tcW w:w="255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Path</w:t>
            </w:r>
          </w:p>
        </w:tc>
        <w:tc>
          <w:tcPr>
            <w:tcW w:w="255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Status</w:t>
            </w:r>
          </w:p>
        </w:tc>
        <w:tc>
          <w:tcPr>
            <w:tcW w:w="2551"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Description</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/api/config/eligibility</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Returns all 6 eligibility keys from DB cache. Response keys are SCREAMING_SNAKE_CASE: BUSA_TIERS, AGENT_TIERS, AGENT_RATE_PARAMS, ELIG_RULES, CONC_LIMITS, GLOBAL_SETTINGS</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PUT</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/api/config/eligibility</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Upserts a single config key; ?section=&lt;key&gt; required; writes Config Change audit event</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/api/config/matching</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Returns matching_config from DB cache</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PUT</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/api/config/matching</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Replaces matching_config; ?section= optional label for audit detail; writes Match Config Change audit event</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/api/config/wizard</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E8F3E8" w:val="clear"/>
          </w:tcPr>
          <w:p>
            <w:pPr>
              <w:pStyle w:val="Normal"/>
              <w:widowControl w:val="false"/>
              <w:spacing w:before="0" w:after="0"/>
              <w:rPr>
                <w:b w:val="false"/>
                <w:b w:val="false"/>
                <w:bCs w:val="false"/>
                <w:color w:val="292929"/>
                <w:sz w:val="17"/>
                <w:szCs w:val="17"/>
              </w:rPr>
            </w:pPr>
            <w:r>
              <w:rPr>
                <w:b w:val="false"/>
                <w:bCs w:val="false"/>
                <w:color w:val="292929"/>
                <w:sz w:val="17"/>
                <w:szCs w:val="17"/>
              </w:rPr>
              <w:t>Implemented; returns 404 until wizard_config row is seeded. UI falls back to wizardConfig.ts</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/api/config/audit</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E8F3E8" w:val="clear"/>
          </w:tcPr>
          <w:p>
            <w:pPr>
              <w:pStyle w:val="Normal"/>
              <w:widowControl w:val="false"/>
              <w:spacing w:before="0" w:after="0"/>
              <w:rPr>
                <w:b w:val="false"/>
                <w:b w:val="false"/>
                <w:bCs w:val="false"/>
                <w:color w:val="292929"/>
                <w:sz w:val="17"/>
                <w:szCs w:val="17"/>
              </w:rPr>
            </w:pPr>
            <w:r>
              <w:rPr>
                <w:b w:val="false"/>
                <w:bCs w:val="false"/>
                <w:color w:val="292929"/>
                <w:sz w:val="17"/>
                <w:szCs w:val="17"/>
              </w:rPr>
              <w:t>Implemented; returns 404 until audit_config row is seeded. UI falls back to auditConfig.ts</w:t>
            </w:r>
          </w:p>
        </w:tc>
      </w:tr>
      <w:tr>
        <w:trPr>
          <w:cantSplit w:val="true"/>
        </w:trPr>
        <w:tc>
          <w:tcPr>
            <w:tcW w:w="2551"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/api/config/reports</w:t>
            </w:r>
          </w:p>
        </w:tc>
        <w:tc>
          <w:tcPr>
            <w:tcW w:w="2552"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4" w:space="0" w:color="B7B7B7"/>
              <w:right w:val="single" w:sz="4" w:space="0" w:color="B7B7B7"/>
            </w:tcBorders>
            <w:shd w:fill="E8F3E8" w:val="clear"/>
          </w:tcPr>
          <w:p>
            <w:pPr>
              <w:pStyle w:val="Normal"/>
              <w:widowControl w:val="false"/>
              <w:spacing w:before="0" w:after="0"/>
              <w:rPr>
                <w:b w:val="false"/>
                <w:b w:val="false"/>
                <w:bCs w:val="false"/>
                <w:color w:val="292929"/>
                <w:sz w:val="17"/>
                <w:szCs w:val="17"/>
              </w:rPr>
            </w:pPr>
            <w:r>
              <w:rPr>
                <w:b w:val="false"/>
                <w:bCs w:val="false"/>
                <w:color w:val="292929"/>
                <w:sz w:val="17"/>
                <w:szCs w:val="17"/>
              </w:rPr>
              <w:t>Implemented; returns 404 until report_config row is seeded. UI falls back to reportConfig.ts</w:t>
            </w:r>
          </w:p>
        </w:tc>
      </w:tr>
    </w:tbl>
    <w:p>
      <w:pPr>
        <w:pStyle w:val="Normal"/>
        <w:spacing w:before="0" w:after="120"/>
        <w:rPr/>
      </w:pPr>
      <w:r>
        <w:rPr/>
      </w:r>
    </w:p>
    <w:p>
      <w:pPr>
        <w:pStyle w:val="Heading2"/>
        <w:spacing w:before="180" w:after="100"/>
        <w:rPr>
          <w:color w:val="454545"/>
        </w:rPr>
      </w:pPr>
      <w:r>
        <w:rPr>
          <w:color w:val="454545"/>
        </w:rPr>
        <w:t>Notifications</w:t>
      </w:r>
    </w:p>
    <w:tbl>
      <w:tblPr>
        <w:tblW w:w="5000" w:type="pct"/>
        <w:jc w:val="left"/>
        <w:tblInd w:w="0" w:type="dxa"/>
        <w:tblLayout w:type="fixed"/>
        <w:tblCellMar>
          <w:top w:w="80" w:type="dxa"/>
          <w:left w:w="100" w:type="dxa"/>
          <w:bottom w:w="80" w:type="dxa"/>
          <w:right w:w="100" w:type="dxa"/>
        </w:tblCellMar>
      </w:tblPr>
      <w:tblGrid>
        <w:gridCol w:w="2551"/>
        <w:gridCol w:w="2551"/>
        <w:gridCol w:w="2552"/>
        <w:gridCol w:w="2551"/>
      </w:tblGrid>
      <w:tr>
        <w:trPr>
          <w:tblHeader w:val="true"/>
          <w:cantSplit w:val="true"/>
        </w:trPr>
        <w:tc>
          <w:tcPr>
            <w:tcW w:w="2551"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Method</w:t>
            </w:r>
          </w:p>
        </w:tc>
        <w:tc>
          <w:tcPr>
            <w:tcW w:w="255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Path</w:t>
            </w:r>
          </w:p>
        </w:tc>
        <w:tc>
          <w:tcPr>
            <w:tcW w:w="255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Status</w:t>
            </w:r>
          </w:p>
        </w:tc>
        <w:tc>
          <w:tcPr>
            <w:tcW w:w="2551"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Description</w:t>
            </w:r>
          </w:p>
        </w:tc>
      </w:tr>
      <w:tr>
        <w:trPr>
          <w:cantSplit w:val="true"/>
        </w:trPr>
        <w:tc>
          <w:tcPr>
            <w:tcW w:w="2551"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w:t>
            </w:r>
          </w:p>
        </w:tc>
        <w:tc>
          <w:tcPr>
            <w:tcW w:w="2551"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/api/notifications/events</w:t>
            </w:r>
          </w:p>
        </w:tc>
        <w:tc>
          <w:tcPr>
            <w:tcW w:w="2552"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SSE stream (text/event-stream). Broadcasts facility status changes, BB runs, LP reclassifications, and upload events. Keep-alive; no timeout under normal operation</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w:t>
      </w:r>
    </w:p>
    <w:p>
      <w:pPr>
        <w:pStyle w:val="Normal"/>
        <w:rPr/>
      </w:pPr>
      <w:r>
        <w:rPr/>
      </w:r>
      <w:r>
        <w:br w:type="page"/>
      </w:r>
    </w:p>
    <w:p>
      <w:pPr>
        <w:pStyle w:val="Heading1"/>
        <w:pBdr>
          <w:bottom w:val="single" w:sz="8" w:space="0" w:color="C00000"/>
        </w:pBdr>
        <w:spacing w:before="260" w:after="100"/>
        <w:rPr>
          <w:color w:val="292929"/>
        </w:rPr>
      </w:pPr>
      <w:r>
        <w:rPr>
          <w:color w:val="292929"/>
        </w:rPr>
        <w:t>6. Process Flow Alignment</w:t>
      </w:r>
    </w:p>
    <w:p>
      <w:pPr>
        <w:pStyle w:val="Heading2"/>
        <w:spacing w:before="180" w:after="100"/>
        <w:rPr>
          <w:color w:val="454545"/>
        </w:rPr>
      </w:pPr>
      <w:r>
        <w:rPr>
          <w:color w:val="454545"/>
        </w:rPr>
        <w:t>Step 4 — Final Shadow BB (LP record fields)</w:t>
      </w:r>
    </w:p>
    <w:p>
      <w:pPr>
        <w:pStyle w:val="Normal"/>
        <w:spacing w:lineRule="exact" w:line="290" w:before="0" w:after="105"/>
        <w:rPr>
          <w:color w:val="292929"/>
          <w:sz w:val="20"/>
          <w:szCs w:val="20"/>
        </w:rPr>
      </w:pPr>
      <w:r>
        <w:rPr>
          <w:color w:val="292929"/>
          <w:sz w:val="20"/>
          <w:szCs w:val="20"/>
        </w:rPr>
        <w:t>The production lp_records table schema mirrors the BB_PROCESS_FLOW Step 4 field set. inv_type (Institutional | HNW) covers both "Investor Type" and "Institutional vs HNW".</w:t>
      </w:r>
    </w:p>
    <w:p>
      <w:pPr>
        <w:pStyle w:val="Heading2"/>
        <w:spacing w:before="180" w:after="100"/>
        <w:rPr>
          <w:color w:val="454545"/>
        </w:rPr>
      </w:pPr>
      <w:r>
        <w:rPr>
          <w:color w:val="454545"/>
        </w:rPr>
        <w:t>Step 6 — Portfolio-Level Reporting</w:t>
      </w:r>
    </w:p>
    <w:p>
      <w:pPr>
        <w:pStyle w:val="Normal"/>
        <w:spacing w:lineRule="exact" w:line="290" w:before="0" w:after="105"/>
        <w:rPr>
          <w:color w:val="292929"/>
          <w:sz w:val="20"/>
          <w:szCs w:val="20"/>
        </w:rPr>
      </w:pPr>
      <w:r>
        <w:rPr>
          <w:color w:val="292929"/>
          <w:sz w:val="20"/>
          <w:szCs w:val="20"/>
        </w:rPr>
        <w:t>Reports screen tabs correspond 1:1 to Step 6 outputs:</w:t>
      </w:r>
    </w:p>
    <w:tbl>
      <w:tblPr>
        <w:tblW w:w="5000" w:type="pct"/>
        <w:jc w:val="left"/>
        <w:tblInd w:w="0" w:type="dxa"/>
        <w:tblLayout w:type="fixed"/>
        <w:tblCellMar>
          <w:top w:w="80" w:type="dxa"/>
          <w:left w:w="100" w:type="dxa"/>
          <w:bottom w:w="80" w:type="dxa"/>
          <w:right w:w="100" w:type="dxa"/>
        </w:tblCellMar>
      </w:tblPr>
      <w:tblGrid>
        <w:gridCol w:w="2551"/>
        <w:gridCol w:w="2551"/>
        <w:gridCol w:w="2552"/>
        <w:gridCol w:w="2551"/>
      </w:tblGrid>
      <w:tr>
        <w:trPr>
          <w:tblHeader w:val="true"/>
          <w:cantSplit w:val="true"/>
        </w:trPr>
        <w:tc>
          <w:tcPr>
            <w:tcW w:w="2551"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Step 6 Output</w:t>
            </w:r>
          </w:p>
        </w:tc>
        <w:tc>
          <w:tcPr>
            <w:tcW w:w="255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Tab ID</w:t>
            </w:r>
          </w:p>
        </w:tc>
        <w:tc>
          <w:tcPr>
            <w:tcW w:w="255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API endpoint</w:t>
            </w:r>
          </w:p>
        </w:tc>
        <w:tc>
          <w:tcPr>
            <w:tcW w:w="2551"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Status</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Collateral Market Value &amp; Coverage</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collateral</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/api/reports/collateral/:id</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Effective Advance Rates</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ear</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/api/reports/ear/:id</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Agent Bank Exposure</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agent-bank</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/api/reports/agent-banks</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Concentration Exposures</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concentration</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/api/reports/concentration/:id</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r>
      <w:tr>
        <w:trPr>
          <w:cantSplit w:val="true"/>
        </w:trPr>
        <w:tc>
          <w:tcPr>
            <w:tcW w:w="2551"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Ad Hoc Reporting</w:t>
            </w:r>
          </w:p>
        </w:tc>
        <w:tc>
          <w:tcPr>
            <w:tcW w:w="2551"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adhoc</w:t>
            </w:r>
          </w:p>
        </w:tc>
        <w:tc>
          <w:tcPr>
            <w:tcW w:w="2552"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TBD</w:t>
            </w:r>
          </w:p>
        </w:tc>
        <w:tc>
          <w:tcPr>
            <w:tcW w:w="2551"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r>
    </w:tbl>
    <w:p>
      <w:pPr>
        <w:pStyle w:val="Normal"/>
        <w:spacing w:before="0" w:after="120"/>
        <w:rPr/>
      </w:pPr>
      <w:r>
        <w:rPr/>
      </w:r>
    </w:p>
    <w:p>
      <w:pPr>
        <w:pStyle w:val="Heading2"/>
        <w:spacing w:before="180" w:after="100"/>
        <w:rPr>
          <w:color w:val="454545"/>
        </w:rPr>
      </w:pPr>
      <w:r>
        <w:rPr>
          <w:color w:val="454545"/>
        </w:rPr>
        <w:t>Scheduled Batch Job</w:t>
      </w:r>
    </w:p>
    <w:p>
      <w:pPr>
        <w:pStyle w:val="Normal"/>
        <w:spacing w:lineRule="exact" w:line="290" w:before="0" w:after="105"/>
        <w:rPr>
          <w:color w:val="292929"/>
          <w:sz w:val="20"/>
          <w:szCs w:val="20"/>
        </w:rPr>
      </w:pPr>
      <w:r>
        <w:rPr>
          <w:color w:val="292929"/>
          <w:sz w:val="20"/>
          <w:szCs w:val="20"/>
        </w:rPr>
        <w:t>One system-managed job planned: runs on the 1st of each month, resets all Active facility statuses to Not Started. The snapshot-freq global setting (default 30 days) is intended to drive automatic Shadow BB recalculation scheduling in pe-sub-jobs. Neither job is implemented yet.</w:t>
      </w:r>
    </w:p>
    <w:p>
      <w:pPr>
        <w:pStyle w:val="Normal"/>
        <w:spacing w:lineRule="exact" w:line="290" w:before="0" w:after="105"/>
        <w:rPr>
          <w:color w:val="292929"/>
          <w:sz w:val="20"/>
          <w:szCs w:val="20"/>
        </w:rPr>
      </w:pPr>
      <w:r>
        <w:rPr>
          <w:color w:val="292929"/>
          <w:sz w:val="20"/>
          <w:szCs w:val="20"/>
        </w:rPr>
        <w:t>---</w:t>
      </w:r>
    </w:p>
    <w:p>
      <w:pPr>
        <w:pStyle w:val="Normal"/>
        <w:rPr/>
      </w:pPr>
      <w:r>
        <w:rPr/>
      </w:r>
      <w:r>
        <w:br w:type="page"/>
      </w:r>
    </w:p>
    <w:p>
      <w:pPr>
        <w:pStyle w:val="Heading1"/>
        <w:pBdr>
          <w:bottom w:val="single" w:sz="8" w:space="0" w:color="C00000"/>
        </w:pBdr>
        <w:spacing w:before="260" w:after="100"/>
        <w:rPr>
          <w:color w:val="292929"/>
        </w:rPr>
      </w:pPr>
      <w:r>
        <w:rPr>
          <w:color w:val="292929"/>
        </w:rPr>
        <w:t>6a. Business Process Clarifications</w:t>
      </w:r>
    </w:p>
    <w:p>
      <w:pPr>
        <w:pStyle w:val="Heading2"/>
        <w:spacing w:before="180" w:after="100"/>
        <w:rPr>
          <w:color w:val="454545"/>
        </w:rPr>
      </w:pPr>
      <w:r>
        <w:rPr>
          <w:color w:val="454545"/>
        </w:rPr>
        <w:t>Shadow BB — When It Is Prepared</w:t>
      </w:r>
    </w:p>
    <w:p>
      <w:pPr>
        <w:pStyle w:val="Normal"/>
        <w:spacing w:lineRule="exact" w:line="290" w:before="0" w:after="105"/>
        <w:rPr>
          <w:color w:val="292929"/>
          <w:sz w:val="20"/>
          <w:szCs w:val="20"/>
        </w:rPr>
      </w:pPr>
      <w:r>
        <w:rPr>
          <w:color w:val="292929"/>
          <w:sz w:val="20"/>
          <w:szCs w:val="20"/>
        </w:rPr>
        <w:t>A Shadow BB is only prepared when a credit decision is required: renewal, amendment, or new origination. It is not produced for every agent BB received. Two analysts (in different locations) independently prepare the Shadow BB. Once complete, the Account/Transaction Manager reviews for accuracy (4-eye check).</w:t>
      </w:r>
    </w:p>
    <w:p>
      <w:pPr>
        <w:pStyle w:val="Normal"/>
        <w:spacing w:lineRule="exact" w:line="290" w:before="0" w:after="105"/>
        <w:rPr>
          <w:color w:val="292929"/>
          <w:sz w:val="20"/>
          <w:szCs w:val="20"/>
        </w:rPr>
      </w:pPr>
      <w:r>
        <w:rPr>
          <w:color w:val="292929"/>
          <w:sz w:val="20"/>
          <w:szCs w:val="20"/>
        </w:rPr>
        <w:t>Workflow and approval routing (e.g. formal sign-off steps, escalation paths) are out of scope for Phase 1. Record as a future consideration for Phase 2.</w:t>
      </w:r>
    </w:p>
    <w:p>
      <w:pPr>
        <w:pStyle w:val="Normal"/>
        <w:spacing w:lineRule="exact" w:line="290" w:before="0" w:after="105"/>
        <w:rPr>
          <w:color w:val="292929"/>
          <w:sz w:val="20"/>
          <w:szCs w:val="20"/>
        </w:rPr>
      </w:pPr>
      <w:r>
        <w:rPr>
          <w:color w:val="292929"/>
          <w:sz w:val="20"/>
          <w:szCs w:val="20"/>
        </w:rPr>
        <w:t>No internally produced Shadow BB certificate is required. The facility status changes to Active once the Shadow BB run is accepted — there is no separate certificate step or document submission.</w:t>
      </w:r>
    </w:p>
    <w:p>
      <w:pPr>
        <w:pStyle w:val="Normal"/>
        <w:spacing w:lineRule="exact" w:line="290" w:before="0" w:after="105"/>
        <w:rPr>
          <w:color w:val="292929"/>
          <w:sz w:val="20"/>
          <w:szCs w:val="20"/>
        </w:rPr>
      </w:pPr>
      <w:r>
        <w:rPr>
          <w:color w:val="292929"/>
          <w:sz w:val="20"/>
          <w:szCs w:val="20"/>
        </w:rPr>
        <w:t>Facility workflow status values:</w:t>
      </w:r>
    </w:p>
    <w:tbl>
      <w:tblPr>
        <w:tblW w:w="5000" w:type="pct"/>
        <w:jc w:val="left"/>
        <w:tblInd w:w="0" w:type="dxa"/>
        <w:tblLayout w:type="fixed"/>
        <w:tblCellMar>
          <w:top w:w="80" w:type="dxa"/>
          <w:left w:w="100" w:type="dxa"/>
          <w:bottom w:w="80" w:type="dxa"/>
          <w:right w:w="100" w:type="dxa"/>
        </w:tblCellMar>
      </w:tblPr>
      <w:tblGrid>
        <w:gridCol w:w="5102"/>
        <w:gridCol w:w="5103"/>
      </w:tblGrid>
      <w:tr>
        <w:trPr>
          <w:tblHeader w:val="true"/>
          <w:cantSplit w:val="true"/>
        </w:trPr>
        <w:tc>
          <w:tcPr>
            <w:tcW w:w="51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Status</w:t>
            </w:r>
          </w:p>
        </w:tc>
        <w:tc>
          <w:tcPr>
            <w:tcW w:w="5103"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Meaning</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Not Started</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No Shadow BB submission processed for this cycle</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 Progress</w:t>
            </w:r>
          </w:p>
        </w:tc>
        <w:tc>
          <w:tcPr>
            <w:tcW w:w="5103"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Agent BB uploaded; analyst is working through matching, classification, and Shadow BB</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Needs Review</w:t>
            </w:r>
          </w:p>
        </w:tc>
        <w:tc>
          <w:tcPr>
            <w:tcW w:w="5103"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Submission has unresolved LP matches or eligibility issues requiring credit officer action</w:t>
            </w:r>
          </w:p>
        </w:tc>
      </w:tr>
      <w:tr>
        <w:trPr>
          <w:cantSplit w:val="true"/>
        </w:trPr>
        <w:tc>
          <w:tcPr>
            <w:tcW w:w="5102"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Active</w:t>
            </w:r>
          </w:p>
        </w:tc>
        <w:tc>
          <w:tcPr>
            <w:tcW w:w="5103"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Shadow BB completed and accepted for this cycle</w:t>
            </w:r>
          </w:p>
        </w:tc>
      </w:tr>
    </w:tbl>
    <w:p>
      <w:pPr>
        <w:pStyle w:val="Normal"/>
        <w:spacing w:before="0" w:after="120"/>
        <w:rPr/>
      </w:pPr>
      <w:r>
        <w:rPr/>
      </w:r>
    </w:p>
    <w:p>
      <w:pPr>
        <w:pStyle w:val="Heading2"/>
        <w:spacing w:before="180" w:after="100"/>
        <w:rPr>
          <w:color w:val="454545"/>
        </w:rPr>
      </w:pPr>
      <w:r>
        <w:rPr>
          <w:color w:val="454545"/>
        </w:rPr>
        <w:t>LP Master — Data Sources and Governance</w:t>
      </w:r>
    </w:p>
    <w:p>
      <w:pPr>
        <w:pStyle w:val="ListParagraph"/>
        <w:numPr>
          <w:ilvl w:val="0"/>
          <w:numId w:val="1"/>
        </w:numPr>
        <w:spacing w:before="0" w:after="55"/>
        <w:rPr>
          <w:color w:val="292929"/>
          <w:sz w:val="20"/>
          <w:szCs w:val="20"/>
        </w:rPr>
      </w:pPr>
      <w:r>
        <w:rPr>
          <w:color w:val="292929"/>
          <w:sz w:val="20"/>
          <w:szCs w:val="20"/>
        </w:rPr>
        <w:t>AUM and ratings are sourced manually by analysts from internet searches, rating agency websites (S&amp;P, Moody's, Fitch), and Pitchbook (web-based LP intelligence service).</w:t>
      </w:r>
    </w:p>
    <w:p>
      <w:pPr>
        <w:pStyle w:val="ListParagraph"/>
        <w:numPr>
          <w:ilvl w:val="0"/>
          <w:numId w:val="1"/>
        </w:numPr>
        <w:spacing w:before="0" w:after="55"/>
        <w:rPr>
          <w:color w:val="292929"/>
          <w:sz w:val="20"/>
          <w:szCs w:val="20"/>
        </w:rPr>
      </w:pPr>
      <w:r>
        <w:rPr>
          <w:color w:val="292929"/>
          <w:sz w:val="20"/>
          <w:szCs w:val="20"/>
        </w:rPr>
        <w:t>Two individuals on the PE Sub Management team compile and maintain the LP Master for reporting purposes.</w:t>
      </w:r>
    </w:p>
    <w:p>
      <w:pPr>
        <w:pStyle w:val="ListParagraph"/>
        <w:numPr>
          <w:ilvl w:val="0"/>
          <w:numId w:val="1"/>
        </w:numPr>
        <w:spacing w:before="0" w:after="55"/>
        <w:rPr>
          <w:color w:val="292929"/>
          <w:sz w:val="20"/>
          <w:szCs w:val="20"/>
        </w:rPr>
      </w:pPr>
      <w:r>
        <w:rPr>
          <w:color w:val="292929"/>
          <w:sz w:val="20"/>
          <w:szCs w:val="20"/>
        </w:rPr>
        <w:t>No authorization is required to create a new LP record. The only prerequisites are: (a) the LP must appear in the agent BB, and (b) all figures must be verified as accurate.</w:t>
      </w:r>
    </w:p>
    <w:p>
      <w:pPr>
        <w:pStyle w:val="Heading2"/>
        <w:spacing w:before="180" w:after="100"/>
        <w:rPr>
          <w:color w:val="454545"/>
        </w:rPr>
      </w:pPr>
      <w:r>
        <w:rPr>
          <w:color w:val="454545"/>
        </w:rPr>
        <w:t>Concentration Limits</w:t>
      </w:r>
    </w:p>
    <w:p>
      <w:pPr>
        <w:pStyle w:val="ListParagraph"/>
        <w:numPr>
          <w:ilvl w:val="0"/>
          <w:numId w:val="1"/>
        </w:numPr>
        <w:spacing w:before="0" w:after="55"/>
        <w:rPr>
          <w:color w:val="292929"/>
          <w:sz w:val="20"/>
          <w:szCs w:val="20"/>
        </w:rPr>
      </w:pPr>
      <w:r>
        <w:rPr>
          <w:color w:val="292929"/>
          <w:sz w:val="20"/>
          <w:szCs w:val="20"/>
        </w:rPr>
        <w:t>Concentration limits are always assigned at the individual LP level.</w:t>
      </w:r>
    </w:p>
    <w:p>
      <w:pPr>
        <w:pStyle w:val="ListParagraph"/>
        <w:numPr>
          <w:ilvl w:val="0"/>
          <w:numId w:val="1"/>
        </w:numPr>
        <w:spacing w:before="0" w:after="55"/>
        <w:rPr>
          <w:color w:val="292929"/>
          <w:sz w:val="20"/>
          <w:szCs w:val="20"/>
        </w:rPr>
      </w:pPr>
      <w:r>
        <w:rPr>
          <w:color w:val="292929"/>
          <w:sz w:val="20"/>
          <w:szCs w:val="20"/>
        </w:rPr>
        <w:t>Some facilities may additionally carry an overall class concentration limit (e.g. a cap on total exposure to Unrated LPs) on top of the per-LP limit.</w:t>
      </w:r>
    </w:p>
    <w:p>
      <w:pPr>
        <w:pStyle w:val="ListParagraph"/>
        <w:numPr>
          <w:ilvl w:val="0"/>
          <w:numId w:val="1"/>
        </w:numPr>
        <w:spacing w:before="0" w:after="55"/>
        <w:rPr>
          <w:color w:val="292929"/>
          <w:sz w:val="20"/>
          <w:szCs w:val="20"/>
        </w:rPr>
      </w:pPr>
      <w:r>
        <w:rPr>
          <w:color w:val="292929"/>
          <w:sz w:val="20"/>
          <w:szCs w:val="20"/>
        </w:rPr>
        <w:t>The concentration limit is calculated against total uncalled capital, not facility size.</w:t>
      </w:r>
    </w:p>
    <w:p>
      <w:pPr>
        <w:pStyle w:val="Normal"/>
        <w:spacing w:lineRule="exact" w:line="290" w:before="0" w:after="105"/>
        <w:rPr>
          <w:color w:val="292929"/>
          <w:sz w:val="20"/>
          <w:szCs w:val="20"/>
        </w:rPr>
      </w:pPr>
      <w:r>
        <w:rPr>
          <w:color w:val="292929"/>
          <w:sz w:val="20"/>
          <w:szCs w:val="20"/>
        </w:rPr>
        <w:t>---</w:t>
      </w:r>
    </w:p>
    <w:p>
      <w:pPr>
        <w:pStyle w:val="Normal"/>
        <w:rPr/>
      </w:pPr>
      <w:r>
        <w:rPr/>
      </w:r>
      <w:r>
        <w:br w:type="page"/>
      </w:r>
    </w:p>
    <w:p>
      <w:pPr>
        <w:pStyle w:val="Heading1"/>
        <w:pBdr>
          <w:bottom w:val="single" w:sz="8" w:space="0" w:color="C00000"/>
        </w:pBdr>
        <w:spacing w:before="260" w:after="100"/>
        <w:rPr>
          <w:color w:val="292929"/>
        </w:rPr>
      </w:pPr>
      <w:r>
        <w:rPr>
          <w:color w:val="292929"/>
        </w:rPr>
        <w:t>6b. Roles &amp; Access Control (RBAC)</w:t>
      </w:r>
    </w:p>
    <w:p>
      <w:pPr>
        <w:pStyle w:val="Normal"/>
        <w:spacing w:lineRule="exact" w:line="290" w:before="0" w:after="105"/>
        <w:rPr>
          <w:color w:val="292929"/>
          <w:sz w:val="20"/>
          <w:szCs w:val="20"/>
        </w:rPr>
      </w:pPr>
      <w:r>
        <w:rPr>
          <w:color w:val="292929"/>
          <w:sz w:val="20"/>
          <w:szCs w:val="20"/>
        </w:rPr>
        <w:t>The platform operates with two roles — Analyst and Account/Transaction Manager — consolidated from three legacy roles (Credit Officer, Supervisor, Admin; see Decision 27). Workflow ownership is per-submission: the Analyst who uploads an Agent BB owns all active steps for that submission until it is certified or reassigned by an Account/Transaction Manager.</w:t>
      </w:r>
    </w:p>
    <w:p>
      <w:pPr>
        <w:pStyle w:val="ListParagraph"/>
        <w:numPr>
          <w:ilvl w:val="0"/>
          <w:numId w:val="1"/>
        </w:numPr>
        <w:spacing w:before="0" w:after="55"/>
        <w:rPr>
          <w:color w:val="292929"/>
          <w:sz w:val="20"/>
          <w:szCs w:val="20"/>
        </w:rPr>
      </w:pPr>
      <w:r>
        <w:rPr>
          <w:color w:val="292929"/>
          <w:sz w:val="20"/>
          <w:szCs w:val="20"/>
        </w:rPr>
        <w:t>Analyst — day-to-day operator and system configurator. Uploads Agent BBs, resolves LP match queues, runs Shadow BB calculations, edits LP Master classifications, and manages credit agreement configuration. Owns submissions they upload; can view any colleague's submission read-only.</w:t>
      </w:r>
    </w:p>
    <w:p>
      <w:pPr>
        <w:pStyle w:val="ListParagraph"/>
        <w:numPr>
          <w:ilvl w:val="0"/>
          <w:numId w:val="1"/>
        </w:numPr>
        <w:spacing w:before="0" w:after="55"/>
        <w:rPr>
          <w:color w:val="292929"/>
          <w:sz w:val="20"/>
          <w:szCs w:val="20"/>
        </w:rPr>
      </w:pPr>
      <w:r>
        <w:rPr>
          <w:color w:val="292929"/>
          <w:sz w:val="20"/>
          <w:szCs w:val="20"/>
        </w:rPr>
        <w:t>Account/Transaction Manager — operational ownership and 4-eye review authority. Performs the 4-eye check on completed Shadow BB analyses, can act on any submission regardless of ownership, reassigns workflow ownership, and has full cross-facility read and audit-trail visibility. Does not perform day-to-day configuration changes.</w:t>
      </w:r>
    </w:p>
    <w:tbl>
      <w:tblPr>
        <w:tblW w:w="5000" w:type="pct"/>
        <w:jc w:val="left"/>
        <w:tblInd w:w="0" w:type="dxa"/>
        <w:tblLayout w:type="fixed"/>
        <w:tblCellMar>
          <w:top w:w="80" w:type="dxa"/>
          <w:left w:w="100" w:type="dxa"/>
          <w:bottom w:w="80" w:type="dxa"/>
          <w:right w:w="100" w:type="dxa"/>
        </w:tblCellMar>
      </w:tblPr>
      <w:tblGrid>
        <w:gridCol w:w="2551"/>
        <w:gridCol w:w="2551"/>
        <w:gridCol w:w="2552"/>
        <w:gridCol w:w="2551"/>
      </w:tblGrid>
      <w:tr>
        <w:trPr>
          <w:tblHeader w:val="true"/>
          <w:cantSplit w:val="true"/>
        </w:trPr>
        <w:tc>
          <w:tcPr>
            <w:tcW w:w="2551"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Capability</w:t>
            </w:r>
          </w:p>
        </w:tc>
        <w:tc>
          <w:tcPr>
            <w:tcW w:w="255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Analyst (owner)</w:t>
            </w:r>
          </w:p>
        </w:tc>
        <w:tc>
          <w:tcPr>
            <w:tcW w:w="255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Analyst (other)</w:t>
            </w:r>
          </w:p>
        </w:tc>
        <w:tc>
          <w:tcPr>
            <w:tcW w:w="2551"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Account/Transaction Manager</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Upload Agent BB / View Shadow BB / Export Certificate</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Review Extraction / Resolve Match Queue / Run Shadow BB</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view</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LP Master (edit classification)</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Configuration / Match Thresholds / Field Mapping (edit)</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Reassign ownership / Override any active step</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Audit Trail</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own facilities</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all facilities</w:t>
            </w:r>
          </w:p>
        </w:tc>
      </w:tr>
      <w:tr>
        <w:trPr>
          <w:cantSplit w:val="true"/>
        </w:trPr>
        <w:tc>
          <w:tcPr>
            <w:tcW w:w="2551"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User management</w:t>
            </w:r>
          </w:p>
        </w:tc>
        <w:tc>
          <w:tcPr>
            <w:tcW w:w="2551"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2"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c>
          <w:tcPr>
            <w:tcW w:w="2551"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Source of truth: [pe-sub-platform/docs/RBAC_ROLES.md](../pe-sub-platform/docs/RBAC_ROLES.md) holds the full permission matrix, Dashboard Resume-CTA mapping, and auth-integration notes. DB role values are stored verbatim as 'Analyst' | 'Account/Transaction Manager' (see the users table in §4). Server-side enforcement is now implemented (see §5 Security model): Spring Security roles ANALYST / ATM gate every endpoint, configuration surfaces are ANALYST-only, and the audit trail records the authenticated principal. Per-submission ownership checks and 4-eye completion remain Phase 2.</w:t>
      </w:r>
    </w:p>
    <w:p>
      <w:pPr>
        <w:pStyle w:val="Normal"/>
        <w:spacing w:lineRule="exact" w:line="290" w:before="0" w:after="105"/>
        <w:rPr>
          <w:color w:val="292929"/>
          <w:sz w:val="20"/>
          <w:szCs w:val="20"/>
        </w:rPr>
      </w:pPr>
      <w:r>
        <w:rPr>
          <w:color w:val="292929"/>
          <w:sz w:val="20"/>
          <w:szCs w:val="20"/>
        </w:rPr>
        <w:t>---</w:t>
      </w:r>
    </w:p>
    <w:p>
      <w:pPr>
        <w:pStyle w:val="Normal"/>
        <w:rPr/>
      </w:pPr>
      <w:r>
        <w:rPr/>
      </w:r>
      <w:r>
        <w:br w:type="page"/>
      </w:r>
    </w:p>
    <w:p>
      <w:pPr>
        <w:pStyle w:val="Heading1"/>
        <w:pBdr>
          <w:bottom w:val="single" w:sz="8" w:space="0" w:color="C00000"/>
        </w:pBdr>
        <w:spacing w:before="260" w:after="100"/>
        <w:rPr>
          <w:color w:val="292929"/>
        </w:rPr>
      </w:pPr>
      <w:r>
        <w:rPr>
          <w:color w:val="292929"/>
        </w:rPr>
        <w:t>7. Key Design Decisions Log</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Decision</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Rationale</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1</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Flat repos, not a monorepo</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Simpler ownership and navigation; monorepo tooling overhead unjustified at this scale</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2</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pe-sub-infra contains Kubernetes manifests, not Terraform</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Terraform deferred until Azure architecture is confirmed. Kubernetes manifests enable immediate local cluster deployment and will serve as the basis for AKS when the cloud target is ready</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3</w:t>
            </w:r>
          </w:p>
        </w:tc>
        <w:tc>
          <w:tcPr>
            <w:tcW w:w="3402" w:type="dxa"/>
            <w:tcBorders>
              <w:top w:val="single" w:sz="2" w:space="0" w:color="B7B7B7"/>
              <w:left w:val="single" w:sz="2" w:space="0" w:color="B7B7B7"/>
              <w:bottom w:val="single" w:sz="2" w:space="0" w:color="B7B7B7"/>
              <w:right w:val="single" w:sz="2" w:space="0" w:color="B7B7B7"/>
            </w:tcBorders>
            <w:shd w:fill="E8F3E8" w:val="clear"/>
          </w:tcPr>
          <w:p>
            <w:pPr>
              <w:pStyle w:val="Normal"/>
              <w:widowControl w:val="false"/>
              <w:spacing w:before="0" w:after="0"/>
              <w:rPr>
                <w:b w:val="false"/>
                <w:b w:val="false"/>
                <w:bCs w:val="false"/>
                <w:color w:val="292929"/>
                <w:sz w:val="17"/>
                <w:szCs w:val="17"/>
              </w:rPr>
            </w:pPr>
            <w:r>
              <w:rPr>
                <w:b w:val="false"/>
                <w:bCs w:val="false"/>
                <w:color w:val="292929"/>
                <w:sz w:val="17"/>
                <w:szCs w:val="17"/>
              </w:rPr>
              <w:t>BB engine implemented in both Java (pe-sub-api) and TypeScript (pe-sub-ui)</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Java engine is authoritative and persists snapshots. TypeScript engine powers client-side live preview in Shadow BB screen. Both must produce identical numbers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4</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pe-sub-db deleted (2026-05-31)</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Was a Drizzle ORM schema/seed package, never a runtime dependency. Schema is now defined exclusively by Flyway SQL migrations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5</w:t>
            </w:r>
          </w:p>
        </w:tc>
        <w:tc>
          <w:tcPr>
            <w:tcW w:w="3402" w:type="dxa"/>
            <w:tcBorders>
              <w:top w:val="single" w:sz="2" w:space="0" w:color="B7B7B7"/>
              <w:left w:val="single" w:sz="2" w:space="0" w:color="B7B7B7"/>
              <w:bottom w:val="single" w:sz="2" w:space="0" w:color="B7B7B7"/>
              <w:right w:val="single" w:sz="2"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Computed BB fields not stored in lp_records</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rate, ubb, delta, uec are derived — storing them would create drift risk. Only source fields and agent_bb (agent-submitted) are persisted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6</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bb_snapshots.result as jsonb</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Full BBResult stored as typed JSON; enables historical reporting without denormalising LP arrays into rows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7</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Vite dev proxy for /api</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Avoids CORS config in development; prod will route through Azure Front Door or API Management</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8</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No mock data fallbacks in production services</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Service layer returns empty arrays on API failure; no fake data leaks into production UI</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9</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Prototype (pe-sub-platform) retained as-is</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Continues as the requirements reference</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10</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Terraform target: Azure</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Cloud provider confirmed; pe-sub-infra to be scaffolded when Azure architecture is designed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11</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pe-sub-common dissolved into pe-sub-ui/src/types/</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Once the API moved to Spring Boot (Java), the shared-TypeScript premise broke. Only two files imported from pe-sub-common; merged and repo deleted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12</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Configuration persisted to DB; TypeScript files are fallbacks</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Config is editable at runtime via PUT /api/config/* without a deployment. TypeScript constants in pe-sub-ui/src/config/ are offline fallbacks; configService.ts falls back to them transparently on API error</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13</w:t>
            </w:r>
          </w:p>
        </w:tc>
        <w:tc>
          <w:tcPr>
            <w:tcW w:w="3402" w:type="dxa"/>
            <w:tcBorders>
              <w:top w:val="single" w:sz="2" w:space="0" w:color="B7B7B7"/>
              <w:left w:val="single" w:sz="2" w:space="0" w:color="B7B7B7"/>
              <w:bottom w:val="single" w:sz="2" w:space="0" w:color="B7B7B7"/>
              <w:right w:val="single" w:sz="2"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lei field on LP records — deferred</w:t>
            </w:r>
          </w:p>
        </w:tc>
        <w:tc>
          <w:tcPr>
            <w:tcW w:w="3402" w:type="dxa"/>
            <w:tcBorders>
              <w:top w:val="single" w:sz="2" w:space="0" w:color="B7B7B7"/>
              <w:left w:val="single" w:sz="2" w:space="0" w:color="B7B7B7"/>
              <w:bottom w:val="single" w:sz="2" w:space="0" w:color="B7B7B7"/>
              <w:right w:val="single" w:sz="4" w:space="0" w:color="B7B7B7"/>
            </w:tcBorders>
            <w:shd w:fill="FFF2CC" w:val="clear"/>
          </w:tcPr>
          <w:p>
            <w:pPr>
              <w:pStyle w:val="Normal"/>
              <w:widowControl w:val="false"/>
              <w:spacing w:before="0" w:after="0"/>
              <w:rPr>
                <w:b w:val="false"/>
                <w:b w:val="false"/>
                <w:bCs w:val="false"/>
                <w:color w:val="292929"/>
                <w:sz w:val="17"/>
                <w:szCs w:val="17"/>
              </w:rPr>
            </w:pPr>
            <w:r>
              <w:rPr>
                <w:b w:val="false"/>
                <w:bCs w:val="false"/>
                <w:color w:val="292929"/>
                <w:sz w:val="17"/>
                <w:szCs w:val="17"/>
              </w:rPr>
              <w:t>LP identity field for LEI or internal counterparty ID. Decision pending: whether to use LEI or internal UBS counterparty ID as the canonical identifier for REST-based classification auto-population. Field not in current schema</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14</w:t>
            </w:r>
          </w:p>
        </w:tc>
        <w:tc>
          <w:tcPr>
            <w:tcW w:w="3402" w:type="dxa"/>
            <w:tcBorders>
              <w:top w:val="single" w:sz="2" w:space="0" w:color="B7B7B7"/>
              <w:left w:val="single" w:sz="2" w:space="0" w:color="B7B7B7"/>
              <w:bottom w:val="single" w:sz="2" w:space="0" w:color="B7B7B7"/>
              <w:right w:val="single" w:sz="2"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Audit trail: user_name stored denormalized, not via FK</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audit_log.user_id reserved for future auth. A separate user_name varchar(100) stores the display name at write time. When auth is added, both columns will be populated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15</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ConfigEntry.value uses @JdbcTypeCode(SqlTypes.JSON) not @Convert</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Hibernate 6 routes UPDATE bindings through ObjectJdbcType which the PostgreSQL JDBC driver rejects. @JdbcTypeCode(SqlTypes.JSON) uses Hibernate 6's native JSON binding path, which works for both INSERT and UPDATE</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16</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Vite dev proxy sets X-Forwarded-For</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Without this, Spring Boot sees remoteAddr = 127.0.0.1 for all requests. The proxy sets X-Forwarded-For to the browser's socket address; AuditLogService.extractIp() records workstation IPs correctly</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17</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pe-sub-extraction as a separate service, not a module in pe-sub-api</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Document parsing (Apache POI, Commons CSV) adds significant dependencies and a different scaling profile. Keeping extraction separate means pe-sub-api has no file-parsing code; the extraction service can be updated or replaced independently</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18</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Config numeric values: whole-number integers for rates/percentages</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Rates stored as 90 (not "90%" or 0.90) for consistency with matching_config (autoAccept: 95). Dollar thresholds stored as raw integers. Text/mode values unchanged. EligRule rows carry a unit discriminator so callers know how to interpret values without hard-coding per-rule logic</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19</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LpIngestService.matchBestInList scoped to facility</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MatchingService.test() matches against all LPs. Ingest needs facility-scoped matching. Added matchBestInList(name, candidates) that accepts a pre-filtered name list and reuses all private scoring methods, avoiding duplication</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20</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Audit logging in LpRecordController, not LpIngestService</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HttpServletRequest (needed for IP extraction) is available in the controller layer. Services should not depend on request context</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21</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Configuration screen is self-service</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All five config sections (BUSA rates, Agent rates, Eligibility Rules, Concentration Limits, Global Settings) are now editable via PUT /api/config/eligibility with per-section save and audit logging. Dropdown controls used for constrained fields to prevent invalid values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22</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BB template registry auto-learned on confirm</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bb_templates is populated on first POST /{id}/confirm for each agent bank (case-insensitive). Subsequent uploads for that bank pass sheetNameHint and headerRowHint to pe-sub-extraction, bypassing heuristic detection and reducing mis-detection risk</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23</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Upload triggers extraction immediately; no manual step</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POST /api/submissions calls pe-sub-extraction inline with forward=false, stores the result in submission_extractions, and advances the submission status to Review. There is no separate "trigger extraction" step in the UI</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24</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Re-extraction on every Map or Discard action</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After mapping or discarding an unrecognised column in the ExtractionPreview screen, the UI automatically calls POST /{id}/reextract → GET /{id}/extracted-lps before re-rendering. No manual Re-extract button</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28</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Upload checks submission status before navigating to ExtractionPreview</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When pe-sub-extraction is unreachable, POST /api/submissions returns the submission with status = 'Error' and no submission_extractions row exists. The UI checks sub.status === 'Error' after upload and surfaces an inline error instead of navigating to ExtractionPreview, preventing a guaranteed 404 cascade on all extraction sub-endpoints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29</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ExtractionPreview state initialises to empty arrays, not prototype data</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All five stateful arrays in ExtractionPreview (extracted, fieldMap, docRec, canonicals, unrecog) are initialised to []. Initialising with prototype constants meant any API failure left prototype data visible — the catch block only set loadError without clearing state. Prototype data is returned by the service layer when screenMode === 'prototype'; the component never holds it directly</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25</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Null-marker filtering at two levels</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N/A, N/R, NA, NR values are filtered at extraction time: (a) row-level — entire row skipped if investor name is a null marker; (b) field-level — cell value stored as null with a "value missing" warning</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26</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CANONICAL_META in SubmissionController for field-map labelling</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A static map in SubmissionController.java keys extraction_key or canonical name to (canonical, group). Used to label field-map rows returned by GET /{id}/field-map. Non-extractable fields are keyed by canonical name; extractable fields by extraction_key. Without this map, matched fields appeared in group "Other"</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27</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Two-role RBAC: Analyst and Account/Transaction Manager</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Consolidated from three roles (Credit Officer, Supervisor, Admin). Analyst performs day-to-day Shadow BB construction and inputs: uploads Agent BBs, resolves LP match queues, runs Shadow BB calculations, manages credit agreement configuration, and edits LP Master records. Account/Transaction Manager holds operational ownership and 4-eye review authority: can act on any submission regardless of ownership, reassign workflow ownership, view the full cross-facility audit trail, and override LP classifications on non-owned submissions. Configuration edits are Analyst-only; Account/Transaction Manager has view-only access to configuration. See pe-sub-platform/docs/RBAC_ROLES.md for the full permission matrix</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30</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LP Classification split into Agent LP Classification + UBS LP Classification (2026-06-12)</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The single canonical field conflated the agent's own category label (lifted verbatim from the Agent BB doc) with UBS's computed advance-rate tier. Split into Agent LP Classification (raw input, extraction_key AGENT_LP_CLASSIFICATION; standard values: Rated Included, Non-Rated Included, Designated Institutional, Designated PWM, Largest 5 Designated, Aggregate Designated PWM) and UBS LP Classification (derived tier: Rated / Unrated &gt;2bn / Unrated 1–2bn / Eligible / Excluded). Applied across fm_canonical_fields (V1_6), pe-sub-ui + prototype Field Mapping Dictionaries, and the extraction AGENT_LP_CLASSIFICATION key</w:t>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31</w:t>
            </w:r>
          </w:p>
        </w:tc>
        <w:tc>
          <w:tcPr>
            <w:tcW w:w="3402" w:type="dxa"/>
            <w:tcBorders>
              <w:top w:val="single" w:sz="2" w:space="0" w:color="B7B7B7"/>
              <w:left w:val="single" w:sz="2" w:space="0" w:color="B7B7B7"/>
              <w:bottom w:val="single" w:sz="4" w:space="0" w:color="B7B7B7"/>
              <w:right w:val="single" w:sz="2"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Agent LP Classification section rows handled in extraction, configured via bb_template_groups</w:t>
            </w:r>
          </w:p>
        </w:tc>
        <w:tc>
          <w:tcPr>
            <w:tcW w:w="3402"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Agent templates frequently group LPs into classification sections using header rows (e.g. "Designated PWM") rather than a per-row column, interleaving sub/total rows. ClassificationRowDetector (pe-sub-extraction) recognises these via the standard values plus a per-agent classificationConfig JSON (header_text → classification) built by ClassificationConfigBuilder from bb_template_groups, fills the value down onto LPs beneath the header, and lets a populated per-row column override the inherited value. bb_template_groups.header_text stores the agent document's literal grouping text; classification stores the resolved canonical value. Onboarding a new template variant is configuration (sheet/header/skip-keywords/aliases/sections), not code — see §8</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w:t>
      </w:r>
    </w:p>
    <w:p>
      <w:pPr>
        <w:pStyle w:val="Normal"/>
        <w:rPr/>
      </w:pPr>
      <w:r>
        <w:rPr/>
      </w:r>
      <w:r>
        <w:br w:type="page"/>
      </w:r>
    </w:p>
    <w:p>
      <w:pPr>
        <w:pStyle w:val="Heading1"/>
        <w:pBdr>
          <w:bottom w:val="single" w:sz="8" w:space="0" w:color="C00000"/>
        </w:pBdr>
        <w:spacing w:before="260" w:after="100"/>
        <w:rPr>
          <w:color w:val="292929"/>
        </w:rPr>
      </w:pPr>
      <w:r>
        <w:rPr>
          <w:color w:val="292929"/>
        </w:rPr>
        <w:t>8. Gaps and Open Questions</w:t>
      </w:r>
    </w:p>
    <w:p>
      <w:pPr>
        <w:pStyle w:val="Heading2"/>
        <w:spacing w:before="180" w:after="100"/>
        <w:rPr>
          <w:color w:val="454545"/>
        </w:rPr>
      </w:pPr>
      <w:r>
        <w:rPr>
          <w:color w:val="454545"/>
        </w:rPr>
        <w:t>Known implementation gaps</w:t>
      </w:r>
    </w:p>
    <w:tbl>
      <w:tblPr>
        <w:tblW w:w="5000" w:type="pct"/>
        <w:jc w:val="left"/>
        <w:tblInd w:w="0" w:type="dxa"/>
        <w:tblLayout w:type="fixed"/>
        <w:tblCellMar>
          <w:top w:w="80" w:type="dxa"/>
          <w:left w:w="100" w:type="dxa"/>
          <w:bottom w:w="80" w:type="dxa"/>
          <w:right w:w="100" w:type="dxa"/>
        </w:tblCellMar>
      </w:tblPr>
      <w:tblGrid>
        <w:gridCol w:w="2551"/>
        <w:gridCol w:w="2551"/>
        <w:gridCol w:w="2552"/>
        <w:gridCol w:w="2551"/>
      </w:tblGrid>
      <w:tr>
        <w:trPr>
          <w:tblHeader w:val="true"/>
          <w:cantSplit w:val="true"/>
        </w:trPr>
        <w:tc>
          <w:tcPr>
            <w:tcW w:w="2551"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w:t>
            </w:r>
          </w:p>
        </w:tc>
        <w:tc>
          <w:tcPr>
            <w:tcW w:w="255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Gap</w:t>
            </w:r>
          </w:p>
        </w:tc>
        <w:tc>
          <w:tcPr>
            <w:tcW w:w="255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Impact</w:t>
            </w:r>
          </w:p>
        </w:tc>
        <w:tc>
          <w:tcPr>
            <w:tcW w:w="2551"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Notes</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G1</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BbCalculationService uses hardcoded rates and thresholds</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Config screen changes have no effect on calculations</w:t>
            </w:r>
          </w:p>
        </w:tc>
        <w:tc>
          <w:tcPr>
            <w:tcW w:w="2551"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BUSA_RATES Map and all detectBreaches thresholds (0.15, 0.60, 0.50, 0.30) are hardcoded in Java. Must be wired to ConfigService to make the Configuration screen meaningful for calculations</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G2</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TypeScript BB engine (bbCalculationService.ts) also hardcoded</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Client-side live preview diverges from configurable values</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Same issue as G1; both engines must be updated together (see Decision 3)</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G3</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pe-sub-jobs is empty</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No scheduled recalculations or async processing</w:t>
            </w:r>
          </w:p>
        </w:tc>
        <w:tc>
          <w:tcPr>
            <w:tcW w:w="2551"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Service skeleton exists (port 3003, Kubernetes manifest); no jobs implemented. snapshot-freq global setting is stored correctly but not consumed</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G4</w:t>
            </w:r>
          </w:p>
        </w:tc>
        <w:tc>
          <w:tcPr>
            <w:tcW w:w="2551" w:type="dxa"/>
            <w:tcBorders>
              <w:top w:val="single" w:sz="2" w:space="0" w:color="B7B7B7"/>
              <w:left w:val="single" w:sz="2" w:space="0" w:color="B7B7B7"/>
              <w:bottom w:val="single" w:sz="2" w:space="0" w:color="B7B7B7"/>
              <w:right w:val="single" w:sz="2" w:space="0" w:color="B7B7B7"/>
            </w:tcBorders>
            <w:shd w:fill="E8F3E8" w:val="clear"/>
          </w:tcPr>
          <w:p>
            <w:pPr>
              <w:pStyle w:val="Normal"/>
              <w:widowControl w:val="false"/>
              <w:spacing w:before="0" w:after="0"/>
              <w:rPr>
                <w:b w:val="false"/>
                <w:b w:val="false"/>
                <w:bCs w:val="false"/>
                <w:color w:val="292929"/>
                <w:sz w:val="17"/>
                <w:szCs w:val="17"/>
              </w:rPr>
            </w:pPr>
            <w:r>
              <w:rPr>
                <w:b w:val="false"/>
                <w:bCs w:val="false"/>
                <w:color w:val="292929"/>
                <w:sz w:val="17"/>
                <w:szCs w:val="17"/>
              </w:rPr>
              <w:t>LP Match Queue — API implemented, UI not yet built</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Ingest "Queued" rows can be retrieved via API but cannot be reviewed in the UI</w:t>
            </w:r>
          </w:p>
        </w:tc>
        <w:tc>
          <w:tcPr>
            <w:tcW w:w="2551"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GET /api/matching/queue and PATCH /api/matching/queue/:id are implemented. The MatchQueue screen exists in the UI (skeleton) but the credit officer review workflow is the next milestone</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G6</w:t>
            </w:r>
          </w:p>
        </w:tc>
        <w:tc>
          <w:tcPr>
            <w:tcW w:w="2551" w:type="dxa"/>
            <w:tcBorders>
              <w:top w:val="single" w:sz="2" w:space="0" w:color="B7B7B7"/>
              <w:left w:val="single" w:sz="2" w:space="0" w:color="B7B7B7"/>
              <w:bottom w:val="single" w:sz="2" w:space="0" w:color="B7B7B7"/>
              <w:right w:val="single" w:sz="2" w:space="0" w:color="B7B7B7"/>
            </w:tcBorders>
            <w:shd w:fill="E8F3E8" w:val="clear"/>
          </w:tcPr>
          <w:p>
            <w:pPr>
              <w:pStyle w:val="Normal"/>
              <w:widowControl w:val="false"/>
              <w:spacing w:before="0" w:after="0"/>
              <w:rPr>
                <w:b w:val="false"/>
                <w:b w:val="false"/>
                <w:bCs w:val="false"/>
                <w:color w:val="292929"/>
                <w:sz w:val="17"/>
                <w:szCs w:val="17"/>
              </w:rPr>
            </w:pPr>
            <w:r>
              <w:rPr>
                <w:b w:val="false"/>
                <w:bCs w:val="false"/>
                <w:color w:val="292929"/>
                <w:sz w:val="17"/>
                <w:szCs w:val="17"/>
              </w:rPr>
              <w:t>~~Authentication not implemented~~ ✅ Resolved (July 2026)</w:t>
            </w:r>
          </w:p>
        </w:tc>
        <w:tc>
          <w:tcPr>
            <w:tcW w:w="2552" w:type="dxa"/>
            <w:tcBorders>
              <w:top w:val="single" w:sz="2" w:space="0" w:color="B7B7B7"/>
              <w:left w:val="single" w:sz="2" w:space="0" w:color="B7B7B7"/>
              <w:bottom w:val="single" w:sz="2" w:space="0" w:color="B7B7B7"/>
              <w:right w:val="single" w:sz="2" w:space="0" w:color="B7B7B7"/>
            </w:tcBorders>
            <w:shd w:fill="E8F3E8" w:val="clear"/>
          </w:tcPr>
          <w:p>
            <w:pPr>
              <w:pStyle w:val="Normal"/>
              <w:widowControl w:val="false"/>
              <w:spacing w:before="0" w:after="0"/>
              <w:rPr>
                <w:b w:val="false"/>
                <w:b w:val="false"/>
                <w:bCs w:val="false"/>
                <w:color w:val="292929"/>
                <w:sz w:val="17"/>
                <w:szCs w:val="17"/>
              </w:rPr>
            </w:pPr>
            <w:r>
              <w:rPr>
                <w:b w:val="false"/>
                <w:bCs w:val="false"/>
                <w:color w:val="292929"/>
                <w:sz w:val="17"/>
                <w:szCs w:val="17"/>
              </w:rPr>
              <w:t>Header/gateway security implemented: dev / gateway modes, ANALYST/ATM/SERVICE roles, stateless Spring Security chain; audit trail records the authenticated principal</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Remaining: Entra ID SSO wiring at the reverse proxy (gateway mode consumes X-Auth-User/X-Auth-Roles); per-submission ownership checks (Phase 2)</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G7</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_eligCache stale after Configuration screen saves</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Saving config, then navigating away and back returns pre-edit values until page refresh</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Module-level promise cache in configService.ts is not invalidated by PUT /api/config/eligibility; Configuration/index.tsx bypasses the cache (calls api.config.eligibility() directly) but other consumers still hit the stale cache</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G8</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wizard_config, audit_config, report_config not seeded</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 /api/config/wizard, /audit, /reports always return 404</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UI falls back to local TypeScript constants transparently, but config is not editable or DB-backed for these three sections</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G9</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~~Reports: Agent Bank Exposure~~ ✅ Resolved (July 2026)</w:t>
            </w:r>
          </w:p>
        </w:tc>
        <w:tc>
          <w:tcPr>
            <w:tcW w:w="2552" w:type="dxa"/>
            <w:tcBorders>
              <w:top w:val="single" w:sz="2" w:space="0" w:color="B7B7B7"/>
              <w:left w:val="single" w:sz="2" w:space="0" w:color="B7B7B7"/>
              <w:bottom w:val="single" w:sz="2" w:space="0" w:color="B7B7B7"/>
              <w:right w:val="single" w:sz="2" w:space="0" w:color="B7B7B7"/>
            </w:tcBorders>
            <w:shd w:fill="E8F3E8" w:val="clear"/>
          </w:tcPr>
          <w:p>
            <w:pPr>
              <w:pStyle w:val="Normal"/>
              <w:widowControl w:val="false"/>
              <w:spacing w:before="0" w:after="0"/>
              <w:rPr>
                <w:b w:val="false"/>
                <w:b w:val="false"/>
                <w:bCs w:val="false"/>
                <w:color w:val="292929"/>
                <w:sz w:val="17"/>
                <w:szCs w:val="17"/>
              </w:rPr>
            </w:pPr>
            <w:r>
              <w:rPr>
                <w:b w:val="false"/>
                <w:bCs w:val="false"/>
                <w:color w:val="292929"/>
                <w:sz w:val="17"/>
                <w:szCs w:val="17"/>
              </w:rPr>
              <w:t>GET /api/reports/agent-banks aggregates UBS exposure by agent bank from each facility's latest snapshot; EAR history (/api/reports/ear/:id) and report history (/api/reports/history, backed by report_history) also implemented</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Remaining Step 6 item: Ad Hoc Reporting</w:t>
            </w:r>
          </w:p>
        </w:tc>
      </w:tr>
      <w:tr>
        <w:trPr>
          <w:cantSplit w:val="true"/>
        </w:trPr>
        <w:tc>
          <w:tcPr>
            <w:tcW w:w="2551"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G10</w:t>
            </w:r>
          </w:p>
        </w:tc>
        <w:tc>
          <w:tcPr>
            <w:tcW w:w="2551" w:type="dxa"/>
            <w:tcBorders>
              <w:top w:val="single" w:sz="2" w:space="0" w:color="B7B7B7"/>
              <w:left w:val="single" w:sz="2" w:space="0" w:color="B7B7B7"/>
              <w:bottom w:val="single" w:sz="4" w:space="0" w:color="B7B7B7"/>
              <w:right w:val="single" w:sz="2"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~~lp_records financial fields stored as VARCHAR~~ ✅ Resolved for calculations (July 2026)</w:t>
            </w:r>
          </w:p>
        </w:tc>
        <w:tc>
          <w:tcPr>
            <w:tcW w:w="2552"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Four precise NUMERIC(20,2) companion columns (uncalled_capital_num, cap_commit_num, aum_num, agent_bb_num) are dual-written with the display strings; the BB engine computes from exact dollars first, falling back to parseMoney() only when no numeric exists</w:t>
            </w:r>
          </w:p>
        </w:tc>
        <w:tc>
          <w:tcPr>
            <w:tcW w:w="2551"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Display strings remain the API/UI contract. Remaining (cosmetic): rates/percentages still string-typed; direct SQL aggregation now possible on the four *_num columns</w:t>
            </w:r>
          </w:p>
        </w:tc>
      </w:tr>
    </w:tbl>
    <w:p>
      <w:pPr>
        <w:pStyle w:val="Normal"/>
        <w:spacing w:before="0" w:after="120"/>
        <w:rPr/>
      </w:pPr>
      <w:r>
        <w:rPr/>
      </w:r>
    </w:p>
    <w:p>
      <w:pPr>
        <w:pStyle w:val="Heading2"/>
        <w:spacing w:before="180" w:after="100"/>
        <w:rPr>
          <w:color w:val="454545"/>
        </w:rPr>
      </w:pPr>
      <w:r>
        <w:rPr>
          <w:color w:val="454545"/>
        </w:rPr>
        <w:t>Open questions</w:t>
      </w:r>
    </w:p>
    <w:p>
      <w:pPr>
        <w:pStyle w:val="ListParagraph"/>
        <w:numPr>
          <w:ilvl w:val="0"/>
          <w:numId w:val="1"/>
        </w:numPr>
        <w:spacing w:before="0" w:after="55"/>
        <w:rPr>
          <w:color w:val="292929"/>
          <w:sz w:val="20"/>
          <w:szCs w:val="20"/>
        </w:rPr>
      </w:pPr>
      <w:r>
        <w:rPr>
          <w:color w:val="292929"/>
          <w:sz w:val="20"/>
          <w:szCs w:val="20"/>
        </w:rPr>
        <w:t>Azure architecture: Container Apps vs App Service, region, networking, Key Vault integration</w:t>
      </w:r>
    </w:p>
    <w:p>
      <w:pPr>
        <w:pStyle w:val="ListParagraph"/>
        <w:numPr>
          <w:ilvl w:val="0"/>
          <w:numId w:val="1"/>
        </w:numPr>
        <w:spacing w:before="0" w:after="55"/>
        <w:rPr>
          <w:color w:val="292929"/>
          <w:sz w:val="20"/>
          <w:szCs w:val="20"/>
        </w:rPr>
      </w:pPr>
      <w:r>
        <w:rPr>
          <w:color w:val="292929"/>
          <w:sz w:val="20"/>
          <w:szCs w:val="20"/>
        </w:rPr>
        <w:t>Authentication: platform-side enforcement is built (G6 resolved). Remaining decision: Entra ID SSO at the reverse proxy (which populates X-Auth-User / X-Auth-Roles in gateway mode) vs an internal identity provider</w:t>
      </w:r>
    </w:p>
    <w:p>
      <w:pPr>
        <w:pStyle w:val="ListParagraph"/>
        <w:numPr>
          <w:ilvl w:val="0"/>
          <w:numId w:val="1"/>
        </w:numPr>
        <w:spacing w:before="0" w:after="55"/>
        <w:rPr>
          <w:color w:val="292929"/>
          <w:sz w:val="20"/>
          <w:szCs w:val="20"/>
        </w:rPr>
      </w:pPr>
      <w:r>
        <w:rPr>
          <w:color w:val="292929"/>
          <w:sz w:val="20"/>
          <w:szCs w:val="20"/>
        </w:rPr>
        <w:t>LP identifier (Decision 13): LEI vs internal UBS counterparty ID — decision pending</w:t>
      </w:r>
    </w:p>
    <w:p>
      <w:pPr>
        <w:pStyle w:val="ListParagraph"/>
        <w:numPr>
          <w:ilvl w:val="0"/>
          <w:numId w:val="1"/>
        </w:numPr>
        <w:spacing w:before="0" w:after="55"/>
        <w:rPr>
          <w:color w:val="292929"/>
          <w:sz w:val="20"/>
          <w:szCs w:val="20"/>
        </w:rPr>
      </w:pPr>
      <w:r>
        <w:rPr>
          <w:color w:val="292929"/>
          <w:sz w:val="20"/>
          <w:szCs w:val="20"/>
        </w:rPr>
        <w:t>pe-sub-infra → AKS: when Azure architecture is confirmed, extend Kubernetes manifests for AKS (registry, ingress, managed identity, secrets from Key Vault)</w:t>
      </w:r>
    </w:p>
    <w:p>
      <w:pPr>
        <w:pStyle w:val="Normal"/>
        <w:spacing w:lineRule="exact" w:line="290" w:before="0" w:after="105"/>
        <w:rPr>
          <w:color w:val="292929"/>
          <w:sz w:val="20"/>
          <w:szCs w:val="20"/>
        </w:rPr>
      </w:pPr>
      <w:r>
        <w:rPr>
          <w:color w:val="292929"/>
          <w:sz w:val="20"/>
          <w:szCs w:val="20"/>
        </w:rPr>
        <w:t>---</w:t>
      </w:r>
    </w:p>
    <w:p>
      <w:pPr>
        <w:pStyle w:val="Normal"/>
        <w:pBdr>
          <w:left w:val="single" w:sz="28" w:space="0" w:color="C00000"/>
        </w:pBdr>
        <w:shd w:val="clear" w:fill="FCE8E6"/>
        <w:spacing w:before="80" w:after="120"/>
        <w:ind w:left="180" w:hanging="0"/>
        <w:rPr>
          <w:i/>
          <w:i/>
          <w:iCs/>
          <w:color w:val="454545"/>
          <w:sz w:val="19"/>
          <w:szCs w:val="19"/>
        </w:rPr>
      </w:pPr>
      <w:r>
        <w:rPr>
          <w:i/>
          <w:iCs/>
          <w:color w:val="454545"/>
          <w:sz w:val="19"/>
          <w:szCs w:val="19"/>
        </w:rPr>
        <w:t>Note on PE-Sub-Platform-Solution-Design.docx: The Word document is a point-in-time export and is no longer maintained in sync automatically. SOLUTION_DESIGN.md is the canonical reference.</w:t>
      </w:r>
    </w:p>
    <w:p>
      <w:pPr>
        <w:pStyle w:val="Normal"/>
        <w:spacing w:lineRule="exact" w:line="290" w:before="0" w:after="105"/>
        <w:rPr>
          <w:color w:val="292929"/>
          <w:sz w:val="20"/>
          <w:szCs w:val="20"/>
        </w:rPr>
      </w:pPr>
      <w:r>
        <w:rPr>
          <w:color w:val="292929"/>
          <w:sz w:val="20"/>
          <w:szCs w:val="20"/>
        </w:rPr>
        <w:t>---</w:t>
      </w:r>
    </w:p>
    <w:p>
      <w:pPr>
        <w:pStyle w:val="Normal"/>
        <w:rPr/>
      </w:pPr>
      <w:r>
        <w:rPr/>
      </w:r>
      <w:r>
        <w:br w:type="page"/>
      </w:r>
    </w:p>
    <w:p>
      <w:pPr>
        <w:pStyle w:val="Heading1"/>
        <w:pBdr>
          <w:bottom w:val="single" w:sz="8" w:space="0" w:color="C00000"/>
        </w:pBdr>
        <w:spacing w:before="260" w:after="100"/>
        <w:rPr>
          <w:color w:val="292929"/>
        </w:rPr>
      </w:pPr>
      <w:r>
        <w:rPr>
          <w:color w:val="292929"/>
        </w:rPr>
        <w:t>9. Agent Bank Portfolio</w:t>
      </w:r>
    </w:p>
    <w:p>
      <w:pPr>
        <w:pStyle w:val="Heading2"/>
        <w:spacing w:before="180" w:after="100"/>
        <w:rPr>
          <w:color w:val="454545"/>
        </w:rPr>
      </w:pPr>
      <w:r>
        <w:rPr>
          <w:color w:val="454545"/>
        </w:rPr>
        <w:t>9.1 Live Facility Registry</w:t>
      </w:r>
    </w:p>
    <w:p>
      <w:pPr>
        <w:pStyle w:val="Normal"/>
        <w:spacing w:lineRule="exact" w:line="290" w:before="0" w:after="105"/>
        <w:rPr>
          <w:color w:val="292929"/>
          <w:sz w:val="20"/>
          <w:szCs w:val="20"/>
        </w:rPr>
      </w:pPr>
      <w:r>
        <w:rPr>
          <w:color w:val="292929"/>
          <w:sz w:val="20"/>
          <w:szCs w:val="20"/>
        </w:rPr>
        <w:t>Source: Agent Bank Summary.xlsx (extracted 2026-06-12). All facilities are Active status. Grand total committed loan volume: $10,555,217,539 across 17 agent banks and 71 facility rows.</w:t>
      </w:r>
    </w:p>
    <w:tbl>
      <w:tblPr>
        <w:tblW w:w="5000" w:type="pct"/>
        <w:jc w:val="left"/>
        <w:tblInd w:w="0" w:type="dxa"/>
        <w:tblLayout w:type="fixed"/>
        <w:tblCellMar>
          <w:top w:w="80" w:type="dxa"/>
          <w:left w:w="100" w:type="dxa"/>
          <w:bottom w:w="80" w:type="dxa"/>
          <w:right w:w="100" w:type="dxa"/>
        </w:tblCellMar>
      </w:tblPr>
      <w:tblGrid>
        <w:gridCol w:w="1701"/>
        <w:gridCol w:w="1700"/>
        <w:gridCol w:w="1701"/>
        <w:gridCol w:w="1702"/>
        <w:gridCol w:w="1700"/>
        <w:gridCol w:w="1701"/>
      </w:tblGrid>
      <w:tr>
        <w:trPr>
          <w:tblHeader w:val="true"/>
          <w:cantSplit w:val="true"/>
        </w:trPr>
        <w:tc>
          <w:tcPr>
            <w:tcW w:w="1701"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Agent Bank</w:t>
            </w:r>
          </w:p>
        </w:tc>
        <w:tc>
          <w:tcPr>
            <w:tcW w:w="1700"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template_format</w:t>
            </w:r>
          </w:p>
        </w:tc>
        <w:tc>
          <w:tcPr>
            <w:tcW w:w="170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Facilities</w:t>
            </w:r>
          </w:p>
        </w:tc>
        <w:tc>
          <w:tcPr>
            <w:tcW w:w="17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Committed Volume (USD)</w:t>
            </w:r>
          </w:p>
        </w:tc>
        <w:tc>
          <w:tcPr>
            <w:tcW w:w="1700"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Templates known</w:t>
            </w:r>
          </w:p>
        </w:tc>
        <w:tc>
          <w:tcPr>
            <w:tcW w:w="1701"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Notes</w:t>
            </w:r>
          </w:p>
        </w:tc>
      </w:tr>
      <w:tr>
        <w:trPr>
          <w:cantSplit w:val="true"/>
        </w:trPr>
        <w:tc>
          <w:tcPr>
            <w:tcW w:w="170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Wells Fargo</w:t>
            </w:r>
          </w:p>
        </w:tc>
        <w:tc>
          <w:tcPr>
            <w:tcW w:w="1700"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WELLS_FARGO</w:t>
            </w:r>
          </w:p>
        </w:tc>
        <w:tc>
          <w:tcPr>
            <w:tcW w:w="170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16</w:t>
            </w:r>
          </w:p>
        </w:tc>
        <w:tc>
          <w:tcPr>
            <w:tcW w:w="17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$3,183,224,809</w:t>
            </w:r>
          </w:p>
        </w:tc>
        <w:tc>
          <w:tcPr>
            <w:tcW w:w="1700"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2 (Class A + Class B)</w:t>
            </w:r>
          </w:p>
        </w:tc>
        <w:tc>
          <w:tcPr>
            <w:tcW w:w="170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Blue Owl GP Stakes V (Class A — prior GS template, WF current agent); Petershill IV (Class B)</w:t>
            </w:r>
          </w:p>
        </w:tc>
      </w:tr>
      <w:tr>
        <w:trPr>
          <w:cantSplit w:val="true"/>
        </w:trPr>
        <w:tc>
          <w:tcPr>
            <w:tcW w:w="170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Bank of America</w:t>
            </w:r>
          </w:p>
        </w:tc>
        <w:tc>
          <w:tcPr>
            <w:tcW w:w="1700"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BANK_OF_AMERICA</w:t>
            </w:r>
          </w:p>
        </w:tc>
        <w:tc>
          <w:tcPr>
            <w:tcW w:w="170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16</w:t>
            </w:r>
          </w:p>
        </w:tc>
        <w:tc>
          <w:tcPr>
            <w:tcW w:w="17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$2,224,406,381</w:t>
            </w:r>
          </w:p>
        </w:tc>
        <w:tc>
          <w:tcPr>
            <w:tcW w:w="1700"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0</w:t>
            </w:r>
          </w:p>
        </w:tc>
        <w:tc>
          <w:tcPr>
            <w:tcW w:w="170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Template not yet received</w:t>
            </w:r>
          </w:p>
        </w:tc>
      </w:tr>
      <w:tr>
        <w:trPr>
          <w:cantSplit w:val="true"/>
        </w:trPr>
        <w:tc>
          <w:tcPr>
            <w:tcW w:w="170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JP Morgan</w:t>
            </w:r>
          </w:p>
        </w:tc>
        <w:tc>
          <w:tcPr>
            <w:tcW w:w="1700"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JPM</w:t>
            </w:r>
          </w:p>
        </w:tc>
        <w:tc>
          <w:tcPr>
            <w:tcW w:w="170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6</w:t>
            </w:r>
          </w:p>
        </w:tc>
        <w:tc>
          <w:tcPr>
            <w:tcW w:w="17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$947,357,895</w:t>
            </w:r>
          </w:p>
        </w:tc>
        <w:tc>
          <w:tcPr>
            <w:tcW w:w="1700"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0</w:t>
            </w:r>
          </w:p>
        </w:tc>
        <w:tc>
          <w:tcPr>
            <w:tcW w:w="170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Partial FM aliases exist; full template not received</w:t>
            </w:r>
          </w:p>
        </w:tc>
      </w:tr>
      <w:tr>
        <w:trPr>
          <w:cantSplit w:val="true"/>
        </w:trPr>
        <w:tc>
          <w:tcPr>
            <w:tcW w:w="170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Silicon Valley Bank¹</w:t>
            </w:r>
          </w:p>
        </w:tc>
        <w:tc>
          <w:tcPr>
            <w:tcW w:w="1700"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SILICON_VALLEY_BANK</w:t>
            </w:r>
          </w:p>
        </w:tc>
        <w:tc>
          <w:tcPr>
            <w:tcW w:w="170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10</w:t>
            </w:r>
          </w:p>
        </w:tc>
        <w:tc>
          <w:tcPr>
            <w:tcW w:w="17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$925,961,540</w:t>
            </w:r>
          </w:p>
        </w:tc>
        <w:tc>
          <w:tcPr>
            <w:tcW w:w="1700"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1 (Class C)</w:t>
            </w:r>
          </w:p>
        </w:tc>
        <w:tc>
          <w:tcPr>
            <w:tcW w:w="1701"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Arctos American Football Fund; 5 paired Committed/Uncommitted tranches; may use variants per fund</w:t>
            </w:r>
          </w:p>
        </w:tc>
      </w:tr>
      <w:tr>
        <w:trPr>
          <w:cantSplit w:val="true"/>
        </w:trPr>
        <w:tc>
          <w:tcPr>
            <w:tcW w:w="170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Morgan Stanley</w:t>
            </w:r>
          </w:p>
        </w:tc>
        <w:tc>
          <w:tcPr>
            <w:tcW w:w="1700"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MORGAN_STANLEY</w:t>
            </w:r>
          </w:p>
        </w:tc>
        <w:tc>
          <w:tcPr>
            <w:tcW w:w="170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4</w:t>
            </w:r>
          </w:p>
        </w:tc>
        <w:tc>
          <w:tcPr>
            <w:tcW w:w="17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$677,535,718</w:t>
            </w:r>
          </w:p>
        </w:tc>
        <w:tc>
          <w:tcPr>
            <w:tcW w:w="1700"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0</w:t>
            </w:r>
          </w:p>
        </w:tc>
        <w:tc>
          <w:tcPr>
            <w:tcW w:w="170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Template not yet received</w:t>
            </w:r>
          </w:p>
        </w:tc>
      </w:tr>
      <w:tr>
        <w:trPr>
          <w:cantSplit w:val="true"/>
        </w:trPr>
        <w:tc>
          <w:tcPr>
            <w:tcW w:w="170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SMBC</w:t>
            </w:r>
          </w:p>
        </w:tc>
        <w:tc>
          <w:tcPr>
            <w:tcW w:w="1700"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SMBC</w:t>
            </w:r>
          </w:p>
        </w:tc>
        <w:tc>
          <w:tcPr>
            <w:tcW w:w="170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2</w:t>
            </w:r>
          </w:p>
        </w:tc>
        <w:tc>
          <w:tcPr>
            <w:tcW w:w="17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$464,705,883²</w:t>
            </w:r>
          </w:p>
        </w:tc>
        <w:tc>
          <w:tcPr>
            <w:tcW w:w="1700"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0</w:t>
            </w:r>
          </w:p>
        </w:tc>
        <w:tc>
          <w:tcPr>
            <w:tcW w:w="170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Template not yet received</w:t>
            </w:r>
          </w:p>
        </w:tc>
      </w:tr>
      <w:tr>
        <w:trPr>
          <w:cantSplit w:val="true"/>
        </w:trPr>
        <w:tc>
          <w:tcPr>
            <w:tcW w:w="170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Mizuho</w:t>
            </w:r>
          </w:p>
        </w:tc>
        <w:tc>
          <w:tcPr>
            <w:tcW w:w="1700"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MIZUHO</w:t>
            </w:r>
          </w:p>
        </w:tc>
        <w:tc>
          <w:tcPr>
            <w:tcW w:w="170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2</w:t>
            </w:r>
          </w:p>
        </w:tc>
        <w:tc>
          <w:tcPr>
            <w:tcW w:w="17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$370,000,000</w:t>
            </w:r>
          </w:p>
        </w:tc>
        <w:tc>
          <w:tcPr>
            <w:tcW w:w="1700"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0</w:t>
            </w:r>
          </w:p>
        </w:tc>
        <w:tc>
          <w:tcPr>
            <w:tcW w:w="170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Template not yet received</w:t>
            </w:r>
          </w:p>
        </w:tc>
      </w:tr>
      <w:tr>
        <w:trPr>
          <w:cantSplit w:val="true"/>
        </w:trPr>
        <w:tc>
          <w:tcPr>
            <w:tcW w:w="170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BMO</w:t>
            </w:r>
          </w:p>
        </w:tc>
        <w:tc>
          <w:tcPr>
            <w:tcW w:w="1700"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BMO</w:t>
            </w:r>
          </w:p>
        </w:tc>
        <w:tc>
          <w:tcPr>
            <w:tcW w:w="170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2</w:t>
            </w:r>
          </w:p>
        </w:tc>
        <w:tc>
          <w:tcPr>
            <w:tcW w:w="17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$332,500,000</w:t>
            </w:r>
          </w:p>
        </w:tc>
        <w:tc>
          <w:tcPr>
            <w:tcW w:w="1700"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0</w:t>
            </w:r>
          </w:p>
        </w:tc>
        <w:tc>
          <w:tcPr>
            <w:tcW w:w="170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Template not yet received</w:t>
            </w:r>
          </w:p>
        </w:tc>
      </w:tr>
      <w:tr>
        <w:trPr>
          <w:cantSplit w:val="true"/>
        </w:trPr>
        <w:tc>
          <w:tcPr>
            <w:tcW w:w="170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Natixis</w:t>
            </w:r>
          </w:p>
        </w:tc>
        <w:tc>
          <w:tcPr>
            <w:tcW w:w="1700"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NATIXIS</w:t>
            </w:r>
          </w:p>
        </w:tc>
        <w:tc>
          <w:tcPr>
            <w:tcW w:w="170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2³</w:t>
            </w:r>
          </w:p>
        </w:tc>
        <w:tc>
          <w:tcPr>
            <w:tcW w:w="17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$300,000,000</w:t>
            </w:r>
          </w:p>
        </w:tc>
        <w:tc>
          <w:tcPr>
            <w:tcW w:w="1700"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0</w:t>
            </w:r>
          </w:p>
        </w:tc>
        <w:tc>
          <w:tcPr>
            <w:tcW w:w="170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Template not yet received</w:t>
            </w:r>
          </w:p>
        </w:tc>
      </w:tr>
      <w:tr>
        <w:trPr>
          <w:cantSplit w:val="true"/>
        </w:trPr>
        <w:tc>
          <w:tcPr>
            <w:tcW w:w="170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CIBC</w:t>
            </w:r>
          </w:p>
        </w:tc>
        <w:tc>
          <w:tcPr>
            <w:tcW w:w="1700"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CIBC</w:t>
            </w:r>
          </w:p>
        </w:tc>
        <w:tc>
          <w:tcPr>
            <w:tcW w:w="170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1</w:t>
            </w:r>
          </w:p>
        </w:tc>
        <w:tc>
          <w:tcPr>
            <w:tcW w:w="17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$165,000,000</w:t>
            </w:r>
          </w:p>
        </w:tc>
        <w:tc>
          <w:tcPr>
            <w:tcW w:w="1700"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0</w:t>
            </w:r>
          </w:p>
        </w:tc>
        <w:tc>
          <w:tcPr>
            <w:tcW w:w="170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Template not yet received</w:t>
            </w:r>
          </w:p>
        </w:tc>
      </w:tr>
      <w:tr>
        <w:trPr>
          <w:cantSplit w:val="true"/>
        </w:trPr>
        <w:tc>
          <w:tcPr>
            <w:tcW w:w="170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M&amp;T Bank</w:t>
            </w:r>
          </w:p>
        </w:tc>
        <w:tc>
          <w:tcPr>
            <w:tcW w:w="1700"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MT_BANK</w:t>
            </w:r>
          </w:p>
        </w:tc>
        <w:tc>
          <w:tcPr>
            <w:tcW w:w="170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1</w:t>
            </w:r>
          </w:p>
        </w:tc>
        <w:tc>
          <w:tcPr>
            <w:tcW w:w="17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$165,000,000</w:t>
            </w:r>
          </w:p>
        </w:tc>
        <w:tc>
          <w:tcPr>
            <w:tcW w:w="1700"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0</w:t>
            </w:r>
          </w:p>
        </w:tc>
        <w:tc>
          <w:tcPr>
            <w:tcW w:w="170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Template not yet received</w:t>
            </w:r>
          </w:p>
        </w:tc>
      </w:tr>
      <w:tr>
        <w:trPr>
          <w:cantSplit w:val="true"/>
        </w:trPr>
        <w:tc>
          <w:tcPr>
            <w:tcW w:w="170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PNC</w:t>
            </w:r>
          </w:p>
        </w:tc>
        <w:tc>
          <w:tcPr>
            <w:tcW w:w="1700"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PNC_BANK</w:t>
            </w:r>
          </w:p>
        </w:tc>
        <w:tc>
          <w:tcPr>
            <w:tcW w:w="170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1</w:t>
            </w:r>
          </w:p>
        </w:tc>
        <w:tc>
          <w:tcPr>
            <w:tcW w:w="17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$150,000,000</w:t>
            </w:r>
          </w:p>
        </w:tc>
        <w:tc>
          <w:tcPr>
            <w:tcW w:w="1700"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0</w:t>
            </w:r>
          </w:p>
        </w:tc>
        <w:tc>
          <w:tcPr>
            <w:tcW w:w="170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Already in template_format; full template not received</w:t>
            </w:r>
          </w:p>
        </w:tc>
      </w:tr>
      <w:tr>
        <w:trPr>
          <w:cantSplit w:val="true"/>
        </w:trPr>
        <w:tc>
          <w:tcPr>
            <w:tcW w:w="170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BNYM</w:t>
            </w:r>
          </w:p>
        </w:tc>
        <w:tc>
          <w:tcPr>
            <w:tcW w:w="1700"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BNY_MELLON</w:t>
            </w:r>
          </w:p>
        </w:tc>
        <w:tc>
          <w:tcPr>
            <w:tcW w:w="170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1</w:t>
            </w:r>
          </w:p>
        </w:tc>
        <w:tc>
          <w:tcPr>
            <w:tcW w:w="17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$150,000,000</w:t>
            </w:r>
          </w:p>
        </w:tc>
        <w:tc>
          <w:tcPr>
            <w:tcW w:w="1700"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0</w:t>
            </w:r>
          </w:p>
        </w:tc>
        <w:tc>
          <w:tcPr>
            <w:tcW w:w="170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Template not yet received</w:t>
            </w:r>
          </w:p>
        </w:tc>
      </w:tr>
      <w:tr>
        <w:trPr>
          <w:cantSplit w:val="true"/>
        </w:trPr>
        <w:tc>
          <w:tcPr>
            <w:tcW w:w="170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Societe Generale</w:t>
            </w:r>
          </w:p>
        </w:tc>
        <w:tc>
          <w:tcPr>
            <w:tcW w:w="1700"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SOCIETE_GENERALE</w:t>
            </w:r>
          </w:p>
        </w:tc>
        <w:tc>
          <w:tcPr>
            <w:tcW w:w="170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2</w:t>
            </w:r>
          </w:p>
        </w:tc>
        <w:tc>
          <w:tcPr>
            <w:tcW w:w="17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$150,000,000</w:t>
            </w:r>
          </w:p>
        </w:tc>
        <w:tc>
          <w:tcPr>
            <w:tcW w:w="1700"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0</w:t>
            </w:r>
          </w:p>
        </w:tc>
        <w:tc>
          <w:tcPr>
            <w:tcW w:w="170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Template not yet received</w:t>
            </w:r>
          </w:p>
        </w:tc>
      </w:tr>
      <w:tr>
        <w:trPr>
          <w:cantSplit w:val="true"/>
        </w:trPr>
        <w:tc>
          <w:tcPr>
            <w:tcW w:w="170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City National Bank</w:t>
            </w:r>
          </w:p>
        </w:tc>
        <w:tc>
          <w:tcPr>
            <w:tcW w:w="1700"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CITY_NATIONAL</w:t>
            </w:r>
          </w:p>
        </w:tc>
        <w:tc>
          <w:tcPr>
            <w:tcW w:w="170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1</w:t>
            </w:r>
          </w:p>
        </w:tc>
        <w:tc>
          <w:tcPr>
            <w:tcW w:w="17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$125,000,000</w:t>
            </w:r>
          </w:p>
        </w:tc>
        <w:tc>
          <w:tcPr>
            <w:tcW w:w="1700"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0</w:t>
            </w:r>
          </w:p>
        </w:tc>
        <w:tc>
          <w:tcPr>
            <w:tcW w:w="170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Template not yet received</w:t>
            </w:r>
          </w:p>
        </w:tc>
      </w:tr>
      <w:tr>
        <w:trPr>
          <w:cantSplit w:val="true"/>
        </w:trPr>
        <w:tc>
          <w:tcPr>
            <w:tcW w:w="170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UBS Bank USA</w:t>
            </w:r>
          </w:p>
        </w:tc>
        <w:tc>
          <w:tcPr>
            <w:tcW w:w="1700"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UBS_BANK_USA</w:t>
            </w:r>
          </w:p>
        </w:tc>
        <w:tc>
          <w:tcPr>
            <w:tcW w:w="170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1</w:t>
            </w:r>
          </w:p>
        </w:tc>
        <w:tc>
          <w:tcPr>
            <w:tcW w:w="17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$125,000,000</w:t>
            </w:r>
          </w:p>
        </w:tc>
        <w:tc>
          <w:tcPr>
            <w:tcW w:w="1700"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0</w:t>
            </w:r>
          </w:p>
        </w:tc>
        <w:tc>
          <w:tcPr>
            <w:tcW w:w="170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UBS acting as own agent; template TBD</w:t>
            </w:r>
          </w:p>
        </w:tc>
      </w:tr>
      <w:tr>
        <w:trPr>
          <w:cantSplit w:val="true"/>
        </w:trPr>
        <w:tc>
          <w:tcPr>
            <w:tcW w:w="1701"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Lloyds</w:t>
            </w:r>
          </w:p>
        </w:tc>
        <w:tc>
          <w:tcPr>
            <w:tcW w:w="1700"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LLOYDS</w:t>
            </w:r>
          </w:p>
        </w:tc>
        <w:tc>
          <w:tcPr>
            <w:tcW w:w="1701"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1</w:t>
            </w:r>
          </w:p>
        </w:tc>
        <w:tc>
          <w:tcPr>
            <w:tcW w:w="1702"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$99,525,317</w:t>
            </w:r>
          </w:p>
        </w:tc>
        <w:tc>
          <w:tcPr>
            <w:tcW w:w="1700"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0</w:t>
            </w:r>
          </w:p>
        </w:tc>
        <w:tc>
          <w:tcPr>
            <w:tcW w:w="1701"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Template not yet received</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Template coverage: 3 known templates across 2 active agents (Wells Fargo × 2, SVB × 1). 15 agents have no template received. Minimum expected: 17 templates (one per agent); actual count likely higher given Wells Fargo's confirmed multi-format pattern and SVB's 10-facility range.</w:t>
      </w:r>
    </w:p>
    <w:p>
      <w:pPr>
        <w:pStyle w:val="Normal"/>
        <w:spacing w:lineRule="exact" w:line="290" w:before="0" w:after="105"/>
        <w:rPr>
          <w:color w:val="292929"/>
          <w:sz w:val="20"/>
          <w:szCs w:val="20"/>
        </w:rPr>
      </w:pPr>
      <w:r>
        <w:rPr>
          <w:color w:val="292929"/>
          <w:sz w:val="20"/>
          <w:szCs w:val="20"/>
        </w:rPr>
        <w:t>¹ Full legal name in summary: "Silicon Valley Bank (A division of First Citizens Bank)" ² SMBC sub-total in source shows $164,705,883 (NB PD IV only) but the sheet also lists West Street Mezz VIII at $300,000,000. Source total is likely a data entry error — confirmed total to be validated with Credit before seeding ³ Two account-number rows for the same deal (CD&amp;R X, VI, XII [U]): $292,050,000 + $7,950,000 = $300,000,000 total</w:t>
      </w:r>
    </w:p>
    <w:p>
      <w:pPr>
        <w:pStyle w:val="Heading2"/>
        <w:spacing w:before="180" w:after="100"/>
        <w:rPr>
          <w:color w:val="454545"/>
        </w:rPr>
      </w:pPr>
      <w:r>
        <w:rPr>
          <w:color w:val="454545"/>
        </w:rPr>
        <w:t>9.2 UBS Internal Account Numbers</w:t>
      </w:r>
    </w:p>
    <w:p>
      <w:pPr>
        <w:pStyle w:val="Normal"/>
        <w:spacing w:lineRule="exact" w:line="290" w:before="0" w:after="105"/>
        <w:rPr>
          <w:color w:val="292929"/>
          <w:sz w:val="20"/>
          <w:szCs w:val="20"/>
        </w:rPr>
      </w:pPr>
      <w:r>
        <w:rPr>
          <w:color w:val="292929"/>
          <w:sz w:val="20"/>
          <w:szCs w:val="20"/>
        </w:rPr>
        <w:t>Every facility row in the Agent Bank Summary carries a UBS loan reference in the format 5Vxxxxx (e.g., 5VX1796). This is the operational identifier used by UBS Credit for loan administration and must be stored in the facilities table as a first-class field. It is distinct from the agent bank's internal deal number.</w:t>
      </w:r>
    </w:p>
    <w:p>
      <w:pPr>
        <w:pStyle w:val="Heading2"/>
        <w:spacing w:before="180" w:after="100"/>
        <w:rPr>
          <w:color w:val="454545"/>
        </w:rPr>
      </w:pPr>
      <w:r>
        <w:rPr>
          <w:color w:val="454545"/>
        </w:rPr>
        <w:t>9.3 Structural Patterns in the Portfolio</w:t>
      </w:r>
    </w:p>
    <w:p>
      <w:pPr>
        <w:pStyle w:val="Normal"/>
        <w:spacing w:lineRule="exact" w:line="290" w:before="0" w:after="105"/>
        <w:rPr>
          <w:color w:val="292929"/>
          <w:sz w:val="20"/>
          <w:szCs w:val="20"/>
        </w:rPr>
      </w:pPr>
      <w:r>
        <w:rPr>
          <w:color w:val="292929"/>
          <w:sz w:val="20"/>
          <w:szCs w:val="20"/>
        </w:rPr>
        <w:t>Committed / Uncommitted tranche pairs (SVB only) Five SVB borrowers each have two separately account-numbered loans — one Committed and one Uncommitted tranche with equal amounts. Each tranche generates its own monthly BB submission:</w:t>
      </w:r>
    </w:p>
    <w:tbl>
      <w:tblPr>
        <w:tblW w:w="5000" w:type="pct"/>
        <w:jc w:val="left"/>
        <w:tblInd w:w="0" w:type="dxa"/>
        <w:tblLayout w:type="fixed"/>
        <w:tblCellMar>
          <w:top w:w="80" w:type="dxa"/>
          <w:left w:w="100" w:type="dxa"/>
          <w:bottom w:w="80" w:type="dxa"/>
          <w:right w:w="100" w:type="dxa"/>
        </w:tblCellMar>
      </w:tblPr>
      <w:tblGrid>
        <w:gridCol w:w="2551"/>
        <w:gridCol w:w="2551"/>
        <w:gridCol w:w="2552"/>
        <w:gridCol w:w="2551"/>
      </w:tblGrid>
      <w:tr>
        <w:trPr>
          <w:tblHeader w:val="true"/>
          <w:cantSplit w:val="true"/>
        </w:trPr>
        <w:tc>
          <w:tcPr>
            <w:tcW w:w="2551"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Borrower</w:t>
            </w:r>
          </w:p>
        </w:tc>
        <w:tc>
          <w:tcPr>
            <w:tcW w:w="255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Committed account</w:t>
            </w:r>
          </w:p>
        </w:tc>
        <w:tc>
          <w:tcPr>
            <w:tcW w:w="255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Uncommitted account</w:t>
            </w:r>
          </w:p>
        </w:tc>
        <w:tc>
          <w:tcPr>
            <w:tcW w:w="2551"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Amount each</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Arctos Keystone Partners Fund I</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5VZ9848</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5VZ9849</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$100,480,770</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Arctos American Football Fund</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5VZ4752</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5VZ4753</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$75,000,000</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Audax Private Equity Fund VII LP</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5VAB067</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5VAB068</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$120M / $180M</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COMVEST CREDIT PARTNERS VII</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5VY7714</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5VY7842</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$50,000,000</w:t>
            </w:r>
          </w:p>
        </w:tc>
      </w:tr>
      <w:tr>
        <w:trPr>
          <w:cantSplit w:val="true"/>
        </w:trPr>
        <w:tc>
          <w:tcPr>
            <w:tcW w:w="2551"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Arctos Sports Fund II</w:t>
            </w:r>
          </w:p>
        </w:tc>
        <w:tc>
          <w:tcPr>
            <w:tcW w:w="2551"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5VY4509</w:t>
            </w:r>
          </w:p>
        </w:tc>
        <w:tc>
          <w:tcPr>
            <w:tcW w:w="2552"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5VY4577</w:t>
            </w:r>
          </w:p>
        </w:tc>
        <w:tc>
          <w:tcPr>
            <w:tcW w:w="2551"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$105M / $70M</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Multi-fund umbrella facilities Several facilities span multiple underlying funds, encoded in the borrower name: e.g., HIG LBO IV, BH III, GB&amp;E III, IV [U], CD&amp;R X, VI, XII [U], HarbourVest Dover St. X, X AIF, XI [U]. The [U] suffix denotes Uncommitted tranche. LP Master records for these facilities cover investors in all named underlying funds combined.</w:t>
      </w:r>
    </w:p>
    <w:p>
      <w:pPr>
        <w:pStyle w:val="Normal"/>
        <w:spacing w:lineRule="exact" w:line="290" w:before="0" w:after="105"/>
        <w:rPr>
          <w:color w:val="292929"/>
          <w:sz w:val="20"/>
          <w:szCs w:val="20"/>
        </w:rPr>
      </w:pPr>
      <w:r>
        <w:rPr>
          <w:color w:val="292929"/>
          <w:sz w:val="20"/>
          <w:szCs w:val="20"/>
        </w:rPr>
        <w:t>Tranched large facilities Wells Fargo Blue Owl GP Stakes V is split across two account numbers ($240,119,760 + $59,880,330 = $300,000,124) and Natixis CD&amp;R across two rows ($292,050,000 + $7,950,000 = $300,000,000). These are participations in a single legal facility divided across UBS loan accounts.</w:t>
      </w:r>
    </w:p>
    <w:p>
      <w:pPr>
        <w:pStyle w:val="Normal"/>
        <w:spacing w:lineRule="exact" w:line="290" w:before="0" w:after="105"/>
        <w:rPr>
          <w:color w:val="292929"/>
          <w:sz w:val="20"/>
          <w:szCs w:val="20"/>
        </w:rPr>
      </w:pPr>
      <w:r>
        <w:rPr>
          <w:color w:val="292929"/>
          <w:sz w:val="20"/>
          <w:szCs w:val="20"/>
        </w:rPr>
        <w:t>---</w:t>
      </w:r>
    </w:p>
    <w:p>
      <w:pPr>
        <w:pStyle w:val="Normal"/>
        <w:rPr/>
      </w:pPr>
      <w:r>
        <w:rPr/>
      </w:r>
      <w:r>
        <w:br w:type="page"/>
      </w:r>
    </w:p>
    <w:p>
      <w:pPr>
        <w:pStyle w:val="Heading1"/>
        <w:pBdr>
          <w:bottom w:val="single" w:sz="8" w:space="0" w:color="C00000"/>
        </w:pBdr>
        <w:spacing w:before="260" w:after="100"/>
        <w:rPr>
          <w:color w:val="292929"/>
        </w:rPr>
      </w:pPr>
      <w:r>
        <w:rPr>
          <w:color w:val="292929"/>
        </w:rPr>
        <w:t>10. Multi-Agent Template Strategy</w:t>
      </w:r>
    </w:p>
    <w:p>
      <w:pPr>
        <w:pStyle w:val="Heading2"/>
        <w:spacing w:before="180" w:after="100"/>
        <w:rPr>
          <w:color w:val="454545"/>
        </w:rPr>
      </w:pPr>
      <w:r>
        <w:rPr>
          <w:color w:val="454545"/>
        </w:rPr>
        <w:t>10.1 Template Class Taxonomy</w:t>
      </w:r>
    </w:p>
    <w:p>
      <w:pPr>
        <w:pStyle w:val="Normal"/>
        <w:spacing w:lineRule="exact" w:line="290" w:before="0" w:after="105"/>
        <w:rPr>
          <w:color w:val="292929"/>
          <w:sz w:val="20"/>
          <w:szCs w:val="20"/>
        </w:rPr>
      </w:pPr>
      <w:r>
        <w:rPr>
          <w:color w:val="292929"/>
          <w:sz w:val="20"/>
          <w:szCs w:val="20"/>
        </w:rPr>
        <w:t>Three structurally distinct template classes emerge from the three known templates. A single agent bank (Wells Fargo) is confirmed to use both Class A and Class B — demonstrating that agent bank identity alone does not determine template class. Template class must always be auto-detected from sheet content at extraction time (see Decision 43).</w:t>
      </w:r>
    </w:p>
    <w:tbl>
      <w:tblPr>
        <w:tblW w:w="5000" w:type="pct"/>
        <w:jc w:val="left"/>
        <w:tblInd w:w="0" w:type="dxa"/>
        <w:tblLayout w:type="fixed"/>
        <w:tblCellMar>
          <w:top w:w="80" w:type="dxa"/>
          <w:left w:w="100" w:type="dxa"/>
          <w:bottom w:w="80" w:type="dxa"/>
          <w:right w:w="100" w:type="dxa"/>
        </w:tblCellMar>
      </w:tblPr>
      <w:tblGrid>
        <w:gridCol w:w="2041"/>
        <w:gridCol w:w="2041"/>
        <w:gridCol w:w="2041"/>
        <w:gridCol w:w="2041"/>
        <w:gridCol w:w="2042"/>
      </w:tblGrid>
      <w:tr>
        <w:trPr>
          <w:tblHeader w:val="true"/>
          <w:cantSplit w:val="true"/>
        </w:trPr>
        <w:tc>
          <w:tcPr>
            <w:tcW w:w="2041"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Class</w:t>
            </w:r>
          </w:p>
        </w:tc>
        <w:tc>
          <w:tcPr>
            <w:tcW w:w="204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Classification source</w:t>
            </w:r>
          </w:p>
        </w:tc>
        <w:tc>
          <w:tcPr>
            <w:tcW w:w="204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Ratings columns</w:t>
            </w:r>
          </w:p>
        </w:tc>
        <w:tc>
          <w:tcPr>
            <w:tcW w:w="204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Summary structure</w:t>
            </w:r>
          </w:p>
        </w:tc>
        <w:tc>
          <w:tcPr>
            <w:tcW w:w="204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Confirmed agent(s)</w:t>
            </w:r>
          </w:p>
        </w:tc>
      </w:tr>
      <w:tr>
        <w:trPr>
          <w:cantSplit w:val="true"/>
        </w:trPr>
        <w:tc>
          <w:tcPr>
            <w:tcW w:w="204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 — Full BB Schedule, group-header classification</w:t>
            </w:r>
          </w:p>
        </w:tc>
        <w:tc>
          <w:tcPr>
            <w:tcW w:w="204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Separate classification header rows between LP data rows (Rated Investors / Unrated Investors / Eligible Investors / Excluded Investors)</w:t>
            </w:r>
          </w:p>
        </w:tc>
        <w:tc>
          <w:tcPr>
            <w:tcW w:w="204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Text ratings + numerical 0–9 scale</w:t>
            </w:r>
          </w:p>
        </w:tc>
        <w:tc>
          <w:tcPr>
            <w:tcW w:w="204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Tranche A + Tranche B sub-tables</w:t>
            </w:r>
          </w:p>
        </w:tc>
        <w:tc>
          <w:tcPr>
            <w:tcW w:w="204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Wells Fargo (Blue Owl GP Stakes V — template originally submitted under prior agent Goldman Sachs Bank USA)</w:t>
            </w:r>
          </w:p>
        </w:tc>
      </w:tr>
      <w:tr>
        <w:trPr>
          <w:cantSplit w:val="true"/>
        </w:trPr>
        <w:tc>
          <w:tcPr>
            <w:tcW w:w="204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B — Full BB Schedule, column-based classification</w:t>
            </w:r>
          </w:p>
        </w:tc>
        <w:tc>
          <w:tcPr>
            <w:tcW w:w="204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Per-row "Investor Category" column</w:t>
            </w:r>
          </w:p>
        </w:tc>
        <w:tc>
          <w:tcPr>
            <w:tcW w:w="204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Text only (S&amp;P / Moody's)</w:t>
            </w:r>
          </w:p>
        </w:tc>
        <w:tc>
          <w:tcPr>
            <w:tcW w:w="204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Single summary table</w:t>
            </w:r>
          </w:p>
        </w:tc>
        <w:tc>
          <w:tcPr>
            <w:tcW w:w="204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Wells Fargo (Petershill IV)</w:t>
            </w:r>
          </w:p>
        </w:tc>
      </w:tr>
      <w:tr>
        <w:trPr>
          <w:cantSplit w:val="true"/>
        </w:trPr>
        <w:tc>
          <w:tcPr>
            <w:tcW w:w="2041"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 — Simplified Callable Capital</w:t>
            </w:r>
          </w:p>
        </w:tc>
        <w:tc>
          <w:tcPr>
            <w:tcW w:w="2041" w:type="dxa"/>
            <w:tcBorders>
              <w:top w:val="single" w:sz="2" w:space="0" w:color="B7B7B7"/>
              <w:left w:val="single" w:sz="2" w:space="0" w:color="B7B7B7"/>
              <w:bottom w:val="single" w:sz="4" w:space="0" w:color="B7B7B7"/>
              <w:right w:val="single" w:sz="2"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No classification column; credit officer assigns at Wizard Step 5</w:t>
            </w:r>
          </w:p>
        </w:tc>
        <w:tc>
          <w:tcPr>
            <w:tcW w:w="2041"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None</w:t>
            </w:r>
          </w:p>
        </w:tc>
        <w:tc>
          <w:tcPr>
            <w:tcW w:w="2041"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Header block only (fund name, reporting date)</w:t>
            </w:r>
          </w:p>
        </w:tc>
        <w:tc>
          <w:tcPr>
            <w:tcW w:w="2042"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Silicon Valley Bank (First Citizens)</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Unclassified agents (0 templates received): Bank of America, JP Morgan, Morgan Stanley, SMBC, Mizuho, BMO, Natixis, CIBC, M&amp;T Bank, PNC, BNYM, Societe Generale, City National Bank, UBS Bank USA, Lloyds.</w:t>
      </w:r>
    </w:p>
    <w:p>
      <w:pPr>
        <w:pStyle w:val="Normal"/>
        <w:spacing w:lineRule="exact" w:line="290" w:before="0" w:after="105"/>
        <w:rPr>
          <w:color w:val="292929"/>
          <w:sz w:val="20"/>
          <w:szCs w:val="20"/>
        </w:rPr>
      </w:pPr>
      <w:r>
        <w:rPr>
          <w:color w:val="292929"/>
          <w:sz w:val="20"/>
          <w:szCs w:val="20"/>
        </w:rPr>
        <w:t>These 15 agents may use any of the three known classes or introduce new structural variants. Given Wells Fargo's confirmed multi-format pattern, the portfolio should be assumed to contain 17 or more distinct template formats. Each new template received must be assigned a class, and new classes defined if required.</w:t>
      </w:r>
    </w:p>
    <w:p>
      <w:pPr>
        <w:pStyle w:val="Heading2"/>
        <w:spacing w:before="180" w:after="100"/>
        <w:rPr>
          <w:color w:val="454545"/>
        </w:rPr>
      </w:pPr>
      <w:r>
        <w:rPr>
          <w:color w:val="454545"/>
        </w:rPr>
        <w:t>10.2 Template A — Wells Fargo, Variant 1 (Blue Owl GP Stakes V)</w:t>
      </w:r>
    </w:p>
    <w:p>
      <w:pPr>
        <w:pStyle w:val="Normal"/>
        <w:pBdr>
          <w:left w:val="single" w:sz="28" w:space="0" w:color="C00000"/>
        </w:pBdr>
        <w:shd w:val="clear" w:fill="FCE8E6"/>
        <w:spacing w:before="80" w:after="120"/>
        <w:ind w:left="180" w:hanging="0"/>
        <w:rPr>
          <w:i/>
          <w:i/>
          <w:iCs/>
          <w:color w:val="454545"/>
          <w:sz w:val="19"/>
          <w:szCs w:val="19"/>
        </w:rPr>
      </w:pPr>
      <w:r>
        <w:rPr>
          <w:i/>
          <w:iCs/>
          <w:color w:val="454545"/>
          <w:sz w:val="19"/>
          <w:szCs w:val="19"/>
        </w:rPr>
        <w:t>Agent history note: This template was submitted under the header "Blue Owl GP Stakes V BB by Goldman Sachs Bank USA". Goldman Sachs Bank USA is not a current active agent in the portfolio. Blue Owl GP Stakes V is now administered by Wells Fargo (accounts 5VAD225, 5VW9761). The template structure and FM aliases are attributed to WELLS_FARGO. Goldman Sachs Bank USA may have been the prior administrative agent before the facility transferred.</w:t>
      </w:r>
    </w:p>
    <w:p>
      <w:pPr>
        <w:pStyle w:val="Normal"/>
        <w:spacing w:lineRule="exact" w:line="290" w:before="0" w:after="105"/>
        <w:rPr>
          <w:color w:val="292929"/>
          <w:sz w:val="20"/>
          <w:szCs w:val="20"/>
        </w:rPr>
      </w:pPr>
      <w:r>
        <w:rPr>
          <w:color w:val="292929"/>
          <w:sz w:val="20"/>
          <w:szCs w:val="20"/>
        </w:rPr>
        <w:t>Sheet structure: Two summary sub-tables precede LP data. LP rows are grouped under classification header rows; color-coded rows signal reclassification and transferee status. Subtotal rows follow each group; a grand Total row closes the sheet.</w:t>
      </w:r>
    </w:p>
    <w:tbl>
      <w:tblPr>
        <w:tblW w:w="5000" w:type="pct"/>
        <w:jc w:val="left"/>
        <w:tblInd w:w="0" w:type="dxa"/>
        <w:tblLayout w:type="fixed"/>
        <w:tblCellMar>
          <w:top w:w="80" w:type="dxa"/>
          <w:left w:w="100" w:type="dxa"/>
          <w:bottom w:w="80" w:type="dxa"/>
          <w:right w:w="100" w:type="dxa"/>
        </w:tblCellMar>
      </w:tblPr>
      <w:tblGrid>
        <w:gridCol w:w="5102"/>
        <w:gridCol w:w="5103"/>
      </w:tblGrid>
      <w:tr>
        <w:trPr>
          <w:tblHeader w:val="true"/>
          <w:cantSplit w:val="true"/>
        </w:trPr>
        <w:tc>
          <w:tcPr>
            <w:tcW w:w="51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Block</w:t>
            </w:r>
          </w:p>
        </w:tc>
        <w:tc>
          <w:tcPr>
            <w:tcW w:w="5103"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Content</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Tranche A summary</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Borrowing Base · Eligible Remaining Commitments · Total Remaining Commitments · Effective Advance Rate</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Tranche B summary</w:t>
            </w:r>
          </w:p>
        </w:tc>
        <w:tc>
          <w:tcPr>
            <w:tcW w:w="5103"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Tranche B Excluded LPs · Total Eligible Remaining Commitments · Tranche B Advance Rate · Tranche A Maximum Commitments · Tranche B Borrowing Base</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Classification header rows</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Rated Investors / Unrated Investors / Eligible Investors / Excluded Investors</w:t>
            </w:r>
          </w:p>
        </w:tc>
      </w:tr>
      <w:tr>
        <w:trPr>
          <w:cantSplit w:val="true"/>
        </w:trPr>
        <w:tc>
          <w:tcPr>
            <w:tcW w:w="5102"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Row color coding</w:t>
            </w:r>
          </w:p>
        </w:tc>
        <w:tc>
          <w:tcPr>
            <w:tcW w:w="5103"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Pink = Reclassified (rcl = true); Blue = Transferee (transferee = true)</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LP data columns and FM Dictionary mappings (bank = WELLS_FARGO):</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Template header</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Canonical field</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Notes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Investor</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INVESTOR_NAME</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Parent / Sponsor / Manager</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PARENT</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S&amp;P</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SP</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Short-form header — distinct alias from Variant 2's "S &amp; P's Rating"</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Moody's</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MDY</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Short-form header</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Net Assets (range)</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NAV</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Range label, e.g. "$1bn – $5bn"</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Individual Original Commitment</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CAP_COMMIT</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Per-LP capital commitment</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Original Commitment</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CAP_COMMIT_TOTAL</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Aggregate — not persisted to lps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Individual Unfunded Commitment</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UC</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Per-LP uncalled; primary sort field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Unfunded Capital Commitment</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UC_TOTAL</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Aggregate — not persisted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 Called</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PCT_CALLED</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 Total Unfunded Commitment</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PCT_UNCALLED</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 Eligible Unfunded Commitment</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PCT_ELIGIBLE_UNCALLED</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Computed — not persisted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Concentration Limit</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AGENT_CONC</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Excess Concentration</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CONC_EXCESS</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Computed — not persisted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Eligible Commitment</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ELIGIBLE_COMMITMENT</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Computed — not persisted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Advance Rate</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AGENT_RATE</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Borrowing Base Contribution</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ABB</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Agent-submitted BB value</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 of Borrowing Base</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PCT_BB</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Computed — not persisted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S&amp;P (0–9 scale)</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SP_NUM</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Deferred — not persisted (see Decision 35)</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Moody's (0–9 scale)</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MDY_NUM</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Deferred — not persisted</w:t>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Applicable Rating (0–9 scale)</w:t>
            </w:r>
          </w:p>
        </w:tc>
        <w:tc>
          <w:tcPr>
            <w:tcW w:w="3402"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APPLICABLE_RATING_NUM</w:t>
            </w:r>
          </w:p>
        </w:tc>
        <w:tc>
          <w:tcPr>
            <w:tcW w:w="3402" w:type="dxa"/>
            <w:tcBorders>
              <w:top w:val="single" w:sz="2" w:space="0" w:color="B7B7B7"/>
              <w:left w:val="single" w:sz="2" w:space="0" w:color="B7B7B7"/>
              <w:bottom w:val="single" w:sz="4"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Deferred — not persisted</w:t>
            </w:r>
          </w:p>
        </w:tc>
      </w:tr>
    </w:tbl>
    <w:p>
      <w:pPr>
        <w:pStyle w:val="Normal"/>
        <w:spacing w:before="0" w:after="120"/>
        <w:rPr/>
      </w:pPr>
      <w:r>
        <w:rPr/>
      </w:r>
    </w:p>
    <w:p>
      <w:pPr>
        <w:pStyle w:val="Heading2"/>
        <w:spacing w:before="180" w:after="100"/>
        <w:rPr>
          <w:color w:val="454545"/>
        </w:rPr>
      </w:pPr>
      <w:r>
        <w:rPr>
          <w:color w:val="454545"/>
        </w:rPr>
        <w:t>10.3 Template B — Wells Fargo, Variant 2 (Petershill IV)</w:t>
      </w:r>
    </w:p>
    <w:p>
      <w:pPr>
        <w:pStyle w:val="Normal"/>
        <w:spacing w:lineRule="exact" w:line="290" w:before="0" w:after="105"/>
        <w:rPr>
          <w:color w:val="292929"/>
          <w:sz w:val="20"/>
          <w:szCs w:val="20"/>
        </w:rPr>
      </w:pPr>
      <w:r>
        <w:rPr>
          <w:color w:val="292929"/>
          <w:sz w:val="20"/>
          <w:szCs w:val="20"/>
        </w:rPr>
        <w:t>Sheet structure: Single summary table at the top. LP rows are flat (no group headers); each row carries an Investor Category column that drives classification. An unnamed first column contains a row identifier. An Eligibility column at the far right maps to the inc flag.</w:t>
      </w:r>
    </w:p>
    <w:p>
      <w:pPr>
        <w:pStyle w:val="Normal"/>
        <w:spacing w:lineRule="exact" w:line="290" w:before="0" w:after="105"/>
        <w:rPr>
          <w:color w:val="292929"/>
          <w:sz w:val="20"/>
          <w:szCs w:val="20"/>
        </w:rPr>
      </w:pPr>
      <w:r>
        <w:rPr>
          <w:color w:val="292929"/>
          <w:sz w:val="20"/>
          <w:szCs w:val="20"/>
        </w:rPr>
        <w:t>LP data columns and FM Dictionary mappings (bank = WELLS_FARGO):</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Template header</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Canonical field</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Notes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[unnamed column]</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ROW_ID</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Sequence or identifier — not persisted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Investor</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INVESTOR_NAME</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Investor Category</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CLS</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Per-row classification label, e.g. "Rated Investors"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 &amp; P's Rating</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SP</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Long-form header — distinct alias from Variant 1's "S&amp;P"</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Moody's Rating</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MDY</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Long-form header</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Net Assets (range)</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NAV</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Individual Original Commitment</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CAP_COMMIT</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Original Commitment</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CAP_COMMIT_TOTAL</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Not persisted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Individual Unfunded Commitment</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UC</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Unfunded Capital Commitment</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UC_TOTAL</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Not persisted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 Called</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PCT_CALLED</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 Total Unfunded Commitment</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PCT_UNCALLED</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 Eligible Unfunded Commitment</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PCT_ELIGIBLE_UNCALLED</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Not persisted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Concentration Limit</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AGENT_CONC</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Excess Concentration</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CONC_EXCESS</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Not persisted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Eligible Commitment</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ELIGIBLE_COMMITMENT</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Not persisted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Advance Rate</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AGENT_RATE</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Borrowing Base Contribution</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ABB</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 of Borrowing Base</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PCT_BB</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Not persisted</w:t>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Eligibility</w:t>
            </w:r>
          </w:p>
        </w:tc>
        <w:tc>
          <w:tcPr>
            <w:tcW w:w="3402"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INC</w:t>
            </w:r>
          </w:p>
        </w:tc>
        <w:tc>
          <w:tcPr>
            <w:tcW w:w="3402"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Maps to boolean inc; text values to be confirmed (e.g., "Eligible" / "Excluded")</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Structural differences from Variant 1: No numerical rating columns; no Tranche B summary table; Fitch column absent; explicit Eligibility column rather than classification inferred from group header rows; "Investor Category" per-row column present. Both variants share bank = WELLS_FARGO in the FM Dictionary — the alias resolver applies all WF aliases; structural detection in the extraction service handles parsing logic differences (see Decision 43).</w:t>
      </w:r>
    </w:p>
    <w:p>
      <w:pPr>
        <w:pStyle w:val="Heading2"/>
        <w:spacing w:before="180" w:after="100"/>
        <w:rPr>
          <w:color w:val="454545"/>
        </w:rPr>
      </w:pPr>
      <w:r>
        <w:rPr>
          <w:color w:val="454545"/>
        </w:rPr>
        <w:t>10.4 Template C — Silicon Valley Bank / First Citizens (Arctos American Football Fund)</w:t>
      </w:r>
    </w:p>
    <w:p>
      <w:pPr>
        <w:pStyle w:val="Normal"/>
        <w:spacing w:lineRule="exact" w:line="290" w:before="0" w:after="105"/>
        <w:rPr>
          <w:color w:val="292929"/>
          <w:sz w:val="20"/>
          <w:szCs w:val="20"/>
        </w:rPr>
      </w:pPr>
      <w:r>
        <w:rPr>
          <w:color w:val="292929"/>
          <w:sz w:val="20"/>
          <w:szCs w:val="20"/>
        </w:rPr>
        <w:t>Sheet structure: Header block (fund name, reporting date) followed by a flat LP table. Investors are divided into two sections — "Total included investors" and "Excluded Investors" — by a section header row (identical pattern to Class A group headers but binary Included/Excluded only). No ratings, no advance rate, no BB contribution column.</w:t>
      </w:r>
    </w:p>
    <w:p>
      <w:pPr>
        <w:pStyle w:val="Normal"/>
        <w:spacing w:lineRule="exact" w:line="290" w:before="0" w:after="105"/>
        <w:rPr>
          <w:color w:val="292929"/>
          <w:sz w:val="20"/>
          <w:szCs w:val="20"/>
        </w:rPr>
      </w:pPr>
      <w:r>
        <w:rPr>
          <w:color w:val="292929"/>
          <w:sz w:val="20"/>
          <w:szCs w:val="20"/>
        </w:rPr>
        <w:t>LP data columns and FM Dictionary mappings (bank = SILICON_VALLEY_BANK):</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Template header</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Canonical field</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Notes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Investor Name</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INVESTOR_NAME</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Committed Capital</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CAP_COMMIT</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Called Capital</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CALLED_CAP</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pPr>
            <w:r>
              <w:rPr/>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Recallable Distributions</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RECALLABLE_DIST</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New field — affects drawable capital; see Decision 38</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Excess Concentration</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CONC_EXCESS</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Not persisted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Remaining Callable Capital</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UC</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Equivalent to Unfunded Capital Commitment in other templates</w:t>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Remaining Callable Capital Adjusted for Concentration Limit</w:t>
            </w:r>
          </w:p>
        </w:tc>
        <w:tc>
          <w:tcPr>
            <w:tcW w:w="3402"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UEC</w:t>
            </w:r>
          </w:p>
        </w:tc>
        <w:tc>
          <w:tcPr>
            <w:tcW w:w="3402"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Directly computed in template — not persisted (derived by BB engine)</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Key distinction: Advance Rate and Borrowing Base Contribution are absent. These cannot be extracted — they must be derived after the credit officer assigns LP classification in Wizard Step 5. Until classification is set, agent_rate and abb remain null on LP records for SVB facilities.</w:t>
      </w:r>
    </w:p>
    <w:p>
      <w:pPr>
        <w:pStyle w:val="Heading2"/>
        <w:spacing w:before="180" w:after="100"/>
        <w:rPr>
          <w:color w:val="454545"/>
        </w:rPr>
      </w:pPr>
      <w:r>
        <w:rPr>
          <w:color w:val="454545"/>
        </w:rPr>
        <w:t>10.5 Computed Fields — Extraction vs. Persistence Policy</w:t>
      </w:r>
    </w:p>
    <w:p>
      <w:pPr>
        <w:pStyle w:val="Normal"/>
        <w:spacing w:lineRule="exact" w:line="290" w:before="0" w:after="105"/>
        <w:rPr>
          <w:color w:val="292929"/>
          <w:sz w:val="20"/>
          <w:szCs w:val="20"/>
        </w:rPr>
      </w:pPr>
      <w:r>
        <w:rPr>
          <w:color w:val="292929"/>
          <w:sz w:val="20"/>
          <w:szCs w:val="20"/>
        </w:rPr>
        <w:t>The following canonical fields appear in agent templates but are computed values, not source data. They must be extracted into the ExtractionResult for review in the Extraction Preview screen, but must not be persisted to the lp_records table (consistent with Decision 5):</w:t>
      </w:r>
    </w:p>
    <w:tbl>
      <w:tblPr>
        <w:tblW w:w="5000" w:type="pct"/>
        <w:jc w:val="left"/>
        <w:tblInd w:w="0" w:type="dxa"/>
        <w:tblLayout w:type="fixed"/>
        <w:tblCellMar>
          <w:top w:w="80" w:type="dxa"/>
          <w:left w:w="100" w:type="dxa"/>
          <w:bottom w:w="80" w:type="dxa"/>
          <w:right w:w="100" w:type="dxa"/>
        </w:tblCellMar>
      </w:tblPr>
      <w:tblGrid>
        <w:gridCol w:w="5102"/>
        <w:gridCol w:w="5103"/>
      </w:tblGrid>
      <w:tr>
        <w:trPr>
          <w:tblHeader w:val="true"/>
          <w:cantSplit w:val="true"/>
        </w:trPr>
        <w:tc>
          <w:tcPr>
            <w:tcW w:w="51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Canonical field</w:t>
            </w:r>
          </w:p>
        </w:tc>
        <w:tc>
          <w:tcPr>
            <w:tcW w:w="5103"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Computed as</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PCT_ELIGIBLE_UNCALLED</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LP uncalled ÷ total eligible uncalled</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ELIGIBLE_COMMITMENT</w:t>
            </w:r>
          </w:p>
        </w:tc>
        <w:tc>
          <w:tcPr>
            <w:tcW w:w="5103"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LP uncalled − concentration excess</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CONC_EXCESS</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MAX(0, LP uncalled − concentration limit × total uncalled)</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PCT_BB</w:t>
            </w:r>
          </w:p>
        </w:tc>
        <w:tc>
          <w:tcPr>
            <w:tcW w:w="5103"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LP ABB ÷ total ABB</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UC_TOTAL</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Aggregate uncalled (facility-level)</w:t>
            </w:r>
          </w:p>
        </w:tc>
      </w:tr>
      <w:tr>
        <w:trPr>
          <w:cantSplit w:val="true"/>
        </w:trPr>
        <w:tc>
          <w:tcPr>
            <w:tcW w:w="5102"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CAP_COMMIT_TOTAL</w:t>
            </w:r>
          </w:p>
        </w:tc>
        <w:tc>
          <w:tcPr>
            <w:tcW w:w="5103"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Aggregate capital commitment (facility-level)</w:t>
            </w:r>
          </w:p>
        </w:tc>
      </w:tr>
    </w:tbl>
    <w:p>
      <w:pPr>
        <w:pStyle w:val="Normal"/>
        <w:spacing w:before="0" w:after="120"/>
        <w:rPr/>
      </w:pPr>
      <w:r>
        <w:rPr/>
      </w:r>
    </w:p>
    <w:p>
      <w:pPr>
        <w:pStyle w:val="Heading2"/>
        <w:spacing w:before="180" w:after="100"/>
        <w:rPr>
          <w:color w:val="454545"/>
        </w:rPr>
      </w:pPr>
      <w:r>
        <w:rPr>
          <w:color w:val="454545"/>
        </w:rPr>
        <w:t>10.6 New LP Table Fields Required</w:t>
      </w:r>
    </w:p>
    <w:p>
      <w:pPr>
        <w:pStyle w:val="Normal"/>
        <w:spacing w:lineRule="exact" w:line="290" w:before="0" w:after="105"/>
        <w:rPr>
          <w:color w:val="292929"/>
          <w:sz w:val="20"/>
          <w:szCs w:val="20"/>
        </w:rPr>
      </w:pPr>
      <w:r>
        <w:rPr>
          <w:color w:val="292929"/>
          <w:sz w:val="20"/>
          <w:szCs w:val="20"/>
        </w:rPr>
        <w:t>The following fields were required in the lp_records table to support the full agent template set. Both are now present in V1_1__schema.sql.</w:t>
      </w:r>
    </w:p>
    <w:tbl>
      <w:tblPr>
        <w:tblW w:w="5000" w:type="pct"/>
        <w:jc w:val="left"/>
        <w:tblInd w:w="0" w:type="dxa"/>
        <w:tblLayout w:type="fixed"/>
        <w:tblCellMar>
          <w:top w:w="80" w:type="dxa"/>
          <w:left w:w="100" w:type="dxa"/>
          <w:bottom w:w="80" w:type="dxa"/>
          <w:right w:w="100" w:type="dxa"/>
        </w:tblCellMar>
      </w:tblPr>
      <w:tblGrid>
        <w:gridCol w:w="2551"/>
        <w:gridCol w:w="2551"/>
        <w:gridCol w:w="2552"/>
        <w:gridCol w:w="2551"/>
      </w:tblGrid>
      <w:tr>
        <w:trPr>
          <w:tblHeader w:val="true"/>
          <w:cantSplit w:val="true"/>
        </w:trPr>
        <w:tc>
          <w:tcPr>
            <w:tcW w:w="2551"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Field</w:t>
            </w:r>
          </w:p>
        </w:tc>
        <w:tc>
          <w:tcPr>
            <w:tcW w:w="255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Type</w:t>
            </w:r>
          </w:p>
        </w:tc>
        <w:tc>
          <w:tcPr>
            <w:tcW w:w="255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Source template(s)</w:t>
            </w:r>
          </w:p>
        </w:tc>
        <w:tc>
          <w:tcPr>
            <w:tcW w:w="2551"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Notes</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transferee</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BOOLEAN NOT NULL DEFAULT FALSE</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Wells Fargo — Template A (Class A, Variant 1)</w:t>
            </w:r>
          </w:p>
        </w:tc>
        <w:tc>
          <w:tcPr>
            <w:tcW w:w="2551"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 xml:space="preserve">✅ </w:t>
            </w:r>
            <w:r>
              <w:rPr>
                <w:b w:val="false"/>
                <w:bCs w:val="false"/>
                <w:color w:val="C00000"/>
                <w:sz w:val="17"/>
                <w:szCs w:val="17"/>
              </w:rPr>
              <w:t>Exists. Set when POI detects blue row background; indicates the LP entered via transfer, not original subscription</w:t>
            </w:r>
          </w:p>
        </w:tc>
      </w:tr>
      <w:tr>
        <w:trPr>
          <w:cantSplit w:val="true"/>
        </w:trPr>
        <w:tc>
          <w:tcPr>
            <w:tcW w:w="2551"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recallable_dist</w:t>
            </w:r>
          </w:p>
        </w:tc>
        <w:tc>
          <w:tcPr>
            <w:tcW w:w="2551"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VARCHAR(50) (or NUMERIC per G10 resolution)</w:t>
            </w:r>
          </w:p>
        </w:tc>
        <w:tc>
          <w:tcPr>
            <w:tcW w:w="2552"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Silicon Valley Bank (Template C)</w:t>
            </w:r>
          </w:p>
        </w:tc>
        <w:tc>
          <w:tcPr>
            <w:tcW w:w="2551" w:type="dxa"/>
            <w:tcBorders>
              <w:top w:val="single" w:sz="2" w:space="0" w:color="B7B7B7"/>
              <w:left w:val="single" w:sz="2" w:space="0" w:color="B7B7B7"/>
              <w:bottom w:val="single" w:sz="4"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 xml:space="preserve">✅ </w:t>
            </w:r>
            <w:r>
              <w:rPr>
                <w:b w:val="false"/>
                <w:bCs w:val="false"/>
                <w:color w:val="C00000"/>
                <w:sz w:val="17"/>
                <w:szCs w:val="17"/>
              </w:rPr>
              <w:t>Exists. Recallable distributions reduce net unfunded capital; NULL for non-SVB facilities</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w:t>
      </w:r>
    </w:p>
    <w:p>
      <w:pPr>
        <w:pStyle w:val="Normal"/>
        <w:rPr/>
      </w:pPr>
      <w:r>
        <w:rPr/>
      </w:r>
      <w:r>
        <w:br w:type="page"/>
      </w:r>
    </w:p>
    <w:p>
      <w:pPr>
        <w:pStyle w:val="Heading1"/>
        <w:pBdr>
          <w:bottom w:val="single" w:sz="8" w:space="0" w:color="C00000"/>
        </w:pBdr>
        <w:spacing w:before="260" w:after="100"/>
        <w:rPr>
          <w:color w:val="292929"/>
        </w:rPr>
      </w:pPr>
      <w:r>
        <w:rPr>
          <w:color w:val="292929"/>
        </w:rPr>
        <w:t>Additions to §7 — Key Design Decisions</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Decision</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Rationale</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30</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facilities table enriched with UBS operational metadata</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Add account_number VARCHAR(20) (UBS loan ref, e.g., 5VX1796), loan_amount NUMERIC(15,2), maturity_date DATE, collateral_date DATE, bank_status VARCHAR(50), bank_status_date DATE. bank_status is the credit/operational status (Active / Terminated) — separate from the workflow status column. Without these fields the facility record has no link to UBS loan administration systems and the Agent Bank Exposure report (G9) cannot be built.</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31</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SVB Committed / Uncommitted tranches are modelled as separate facilities rows</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Each tranche has a distinct UBS account number, its own loan amount, and its own monthly BB submission cycle. No parent-child tranche sub-table is introduced. The tranche type is encoded in the facility name (e.g., "Arctos American Football Fund (Committed)"). Merging into one row would require a sub-table and complicate the submission/extraction workflow with no measurable benefit.</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32</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template_format enum expanded to cover all 17 active portfolio agents</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New values added: BMO, BNY_MELLON, CIBC, CITY_NATIONAL, LLOYDS, MT_BANK, MIZUHO, MORGAN_STANLEY, NATIXIS, SILICON_VALLEY_BANK, SMBC, SOCIETE_GENERALE, UBS_BANK_USA. JPM, BANK_OF_AMERICA, WELLS_FARGO, PNC_BANK already exist. GOLDMAN_SACHS remains in the enum for historical submissions but is not an active portfolio agent. CITIZENS_FINANCIAL is retired — Citizens Financial Group is a separate institution; SVB is now a First Citizens division and is covered by SILICON_VALLEY_BANK.</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33</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Bank-scoped FM Dictionary aliases seeded for 2 active agents (WF both variants + SVB); priority order for remaining agents by volume</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The fm_aliases.bank column supports bank-scoped aliases. V1_8 pre-seeds all Wells Fargo aliases (covering both Class A and Class B variants under bank = WELLS_FARGO) and all Silicon Valley Bank aliases (bank = SILICON_VALLEY_BANK) from §10.2–10.4. Both WF variant alias sets coexist under the same bank key; the alias resolver fires whichever headers are present in the file — no per-variant discrimination needed. Priority for template solicitation from remaining 15 agents: Bank of America ($2.22B, 16 facilities) → JP Morgan ($947M, 6) → Morgan Stanley ($678M, 4) → SMBC ($465M, 2) → Mizuho ($370M, 2).</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34</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LP classification detection strategy is template-class-specific, not agent-specific</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Class A (WF Variant 1): cls derived from group-header rows — extraction service tracks the current group header row and stamps it as cls on each subsequent LP row until the next header. Class B (WF Variant 2): cls read directly from the "Investor Category" per-row column via FM Dictionary alias. Class C (SVB): no classification present; cls defaults to blank; credit officer assigns at Wizard Step 5. Template class is determined at extraction time by structural heuristics (see Decision 43), not by agent bank identity.</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35</w:t>
            </w:r>
          </w:p>
        </w:tc>
        <w:tc>
          <w:tcPr>
            <w:tcW w:w="3402" w:type="dxa"/>
            <w:tcBorders>
              <w:top w:val="single" w:sz="2" w:space="0" w:color="B7B7B7"/>
              <w:left w:val="single" w:sz="2" w:space="0" w:color="B7B7B7"/>
              <w:bottom w:val="single" w:sz="2" w:space="0" w:color="B7B7B7"/>
              <w:right w:val="single" w:sz="2"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Numerical ratings columns (Class A 0–9 scale) — deferred</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Class A template (WF Variant 1, Blue Owl GP Stakes V) contains S&amp;P (0–9), Moody's (0–9), and Applicable Rating (0–9) columns alongside text ratings. Text ratings (sp, mdy, fitch) are canonical; the 0–9 numerical scale appears to be a convention from the prior Goldman Sachs administration of this facility. The Applicable Rating column replicates the advance rate eligibility determination that the BB engine already makes from text ratings. No new lps columns for numerical ratings in the initial implementation; if a future Wells Fargo submission retains this convention, the decision will be re-evaluated.</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36</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Row colour coding detected via Apache POI cell background; drives rcl and transferee flags</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Class A template (WF Variant 1) uses pink cell background for Reclassified LPs (rcl = true, existing field) and blue for Transferee LPs (transferee = true, new field — see §10.6). Apache POI XSSFCellStyle.getFillForegroundColorColor() is used per row at extraction time. No equivalent colour convention is confirmed for Class B or C; any agent template received in future may introduce its own colour conventions.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37</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"Individual" vs. aggregate commitment columns — "Individual" maps to LP Master, aggregates discarded</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Both WF template variants contain paired commitment columns: Individual Original Commitment / Original Commitment and Individual Unfunded Commitment / Unfunded Capital Commitment. "Individual" = this LP entity's per-fund line amount — the correct value for the LP Master. Aggregate variants = facility- or fund-level totals; extracted for display in ExtractionPreview but not persisted to lps. FM Dictionary maps "Individual Original Commitment" → CAP_COMMIT; "Individual Unfunded Commitment" → UC. Expect other agents' templates to follow the same pattern; FM aliases handle header text variations per bank.</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38</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SVB "Recallable Distributions" requires a new lps.recallable_dist field</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SVB Template C (Class C) includes Recallable Distributions — previously distributed capital that can be recalled and reduces the net remaining callable capital. This affects the drawable capital calculation for SVB facilities. A new lps.recallable_dist column is required; it defaults to NULL for all non-SVB templates. The BB engine must be updated to subtract recallable distributions from uc when computing uncalled capital for affected SVB facilities. This field may also be required if any of the 15 unclassified agents uses a similar callable-capital template structure.</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39</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UBS Bank USA as agent bank — no special treatment</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Edison Partners XI LP (account 5VY6837, $125M, maturity 10/14/2026) is agented by UBS Bank USA itself. Despite UBS being the Shadow BB analysis entity, this facility flows through the same extraction and ingest pipeline as any other agent bank and uses template_format = UBS_BANK_USA. Internal template format assignment follows first confirmed extraction.</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40</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SMBC committed volume discrepancy — confirm before seeding</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The source summary shows SMBC "Totals Loan Amount: $164,705,883" but lists two facilities totalling $464,705,883 (NB PD IV $164.7M + West Street Mezz VIII $300M). The sub-total appears to reference NB PD IV only — likely a source spreadsheet formula error. Actual committed volume is $464,705,883 pending Credit confirmation. The V1_8 seed migration must hold this value as a comment pending sign-off.</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41</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Facility seeding migration V1_8__facility_seed.sql</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All 71 facility rows from the Agent Bank Summary are seeded via a new Flyway migration. Fields populated: name, agent_bank, account_number, loan_amount, maturity_date, collateral_date, bank_status (Active), bank_status_date. The migration uses INSERT … ON CONFLICT (account_number) DO UPDATE once account_number carries a unique constraint. Depends on the schema additions in Decision 30 being applied in the same migration or a prior one.</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42</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FM Dictionary seeding migration V1_9__fm_alias_seed.sql covers Wells Fargo (both variants) and SVB</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Aliases for WELLS_FARGO (columns from §10.2 and §10.3 combined — both WF variants share the same bank key) and SILICON_VALLEY_BANK (columns from §10.4) are pre-seeded. Separated from V1_8 to keep facility metadata and alias seeding independent. Aliases for the 15 remaining agents are populated on first confirmed extraction via the manual remap flow. No Goldman Sachs aliases seeded — GS is not an active agent.</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43</w:t>
            </w:r>
          </w:p>
        </w:tc>
        <w:tc>
          <w:tcPr>
            <w:tcW w:w="3402" w:type="dxa"/>
            <w:tcBorders>
              <w:top w:val="single" w:sz="2" w:space="0" w:color="B7B7B7"/>
              <w:left w:val="single" w:sz="2" w:space="0" w:color="B7B7B7"/>
              <w:bottom w:val="single" w:sz="2" w:space="0" w:color="B7B7B7"/>
              <w:right w:val="single" w:sz="2"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Template class must be auto-detected from sheet content, not inferred from agent bank identity</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Wells Fargo uses both Class A (group-header rows, Tranche A/B summary, numerical ratings) and Class B (Investor Category column, single summary, Eligibility column) across different facilities. Agent bank identity alone cannot determine which parsing path to use. The extraction service must detect template class from content heuristics: (1) presence of "Tranche A" or "Tranche B" keyword in the first 15 rows → Class A; (2) "Investor Category" as a column header → Class B; (3) absence of any ratings or Advance Rate columns → Class C; (4) unmatched → Class A as default (widest column coverage). Detected class is cached in bb_templates via a new template_class VARCHAR(10) column alongside sheet_name and header_row_index, so subsequent uploads for the same agent/facility pair skip the heuristic.</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44</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SQL migrations V1_3–V1_7 consolidated back into V1_1/V1_2 (2026-06-13)</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While no production DB exists, incremental ALTER/CREATE migrations added maintenance overhead without the checksum-safety benefit they provide post-launch. All changes (wizard_step/shadow_bb_overrides on submissions, lp_rates table, agent_tiers 5-tier update, Agent/UBS LP Classification split, lp_records rename + column renames) were absorbed into the two base files so fresh environments initialise from a single coherent snapshot. Rule: once V1_1 and V1_2 have been applied to a production DB, they must never be modified. All subsequent schema changes go in new V1_N__ or V2_1__ files.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45</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Shadow BB screen table expanded to 28 columns — full LP record in the grid (2026-06-13)</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The Shadow BB LP table was extended from 10 summary columns to the full 28-column layout defined in pe-sub-docs/SHADOW_BB_ANALYSIS.md: Rank, Investor Name, Parent, SPV, UBS Classification, Inst/HNW, Inv. Grade?, Agent Classification, S&amp;P, Moody's, Fitch, LP Size ($B), Size Criteria, UBS Rate, Agent Rate, Cap. Commit., Uncalled, Agent Conc. Limit, UBS Conc. Limit, % of Commit., Called Cap., % Uncalled, % LP Called, Agent Excess, UBS Excess, Agent BB, UBS BB, Notes. Columns removed: Delta, UBS Eligible, Incl. Agent Excess Concentration is a new computed field on ComputedLPRecord (agentExcessM = MAX(0, ucM − totalAllUC × agentConcPct)) derived in computePortfolioBB after the portfolio total is known. agentCls?: string added as an optional field to the LP type for the Agent LP Classification column.</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46</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Name matching optimised — exact-match fast path + length-band candidate pruning + parallel scoring (2026-06-13)</w:t>
            </w:r>
          </w:p>
        </w:tc>
        <w:tc>
          <w:tcPr>
            <w:tcW w:w="3402" w:type="dxa"/>
            <w:tcBorders>
              <w:top w:val="single" w:sz="2" w:space="0" w:color="B7B7B7"/>
              <w:left w:val="single" w:sz="2" w:space="0" w:color="B7B7B7"/>
              <w:bottom w:val="single" w:sz="2" w:space="0" w:color="B7B7B7"/>
              <w:right w:val="single" w:sz="4"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Symptom: severe slowdown when the same Agent BB was uploaded a second time (reported on Blue Owl GP Stakes V). Root cause: MatchingService.buildMatchQueueEntries (the POST /{id}/confirm step) loads the bank-wide LP Master name list (LpRepository.findAllDistinctNames()) and scored every extracted row against every master name with combined Jaro-Winkler + Levenshtein — O(rows × names) — and (a) re-normalised the whole candidate list for every row, while (b) normalize() called String.replaceAll(...) per abbreviation and per legal suffix, recompiling a regex Pattern on each call → O(rows × names × (#abbrev + #suffix)) regex compilations. The second upload is worse because the first upload's commitAcceptedMatches inserts that BB's investors as new LP Master records, so the re-upload re-matches every row against a list grown by exactly those names — both factors of the product jump at once. Fix — four layers behind an immutable MatchingService.Prepared index built once per upload: (1) regex pre-compilation — abbreviation/suffix patterns compiled once into Config, plus static punctuation/whitespace patterns; the candidate list is normalised once at prepare(), not per row; (2) exact-match fast path — Prepared holds a normalized → first-original map, so a row whose name already exists verbatim in master (the duplicate-upload case) resolves in O(1) at score 100 / Accept with no fuzzy scoring, collapsing the dominant cost of the reported scenario; (3) length-band pruning — candidates indexed sorted by normalised length; given weights jwWeight·jw + levWeight·lev and review threshold T, a candidate whose length is outside [(1−f)·a, a/(1−f)] with f = 1 − (T − jwWeight)/levWeight cannot reach T even with a perfect Jaro-Winkler, so it is skipped without changing any Accept/Queue/Reject decision or matched name; auto-disabled when the math admits no safe pruning (e.g. jwWeight ≥ T); (4) parallel scoring — buildMatchQueueEntries scores rows via parallelStream(); fuzzy matching is CPU-bound and each row is independent, and Prepared is immutable so this is thread-safe. Deliberately uses the common ForkJoinPool (platform threads), not virtual threads, which would oversubscribe cores on CPU-bound work; persistence stays out of the parallel section. Bank-wide matching is unchanged — every existing LP record is still a candidate; only provably useless work is skipped. Tie-break preserved (lowest candidate index wins, matching a sequential full scan); the only observable difference is that the displayed match_score of an ultimately below-threshold "New LP" row may differ, since hopeless candidates are not scored — the decision and matched name are identical. LpIngestService.ingest inherits layers 1–3 through prepare/matchBest (left sequential — its loop interleaves DB writes). Guarded by MatchingServiceTest (exact-duplicate fast path; length-band-vs-exhaustive-scan equivalence property test). Supersedes the per-row matchBestInList usage from Decision 19 (the method remains as a thin wrapper over prepare/matchBest). Future option: a token/trigram inverted-index blocking key prunes far more aggressively but is only heuristically decision-safe, so it was left out of this pass.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47</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Header/gateway authentication with dev / gateway modes (2026-07)</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Stateless Spring Security chain; identity established by GatewayAuthenticationFilter from X-Auth-User/X-Auth-Roles (gateway mode, injected by the SSO reverse proxy) or a fixed dev identity (local.analyst@ubs.dev, role ANALYST). Roles ANALYST / ATM / SERVICE mirror RBAC_ROLES.md; POST /api/lpRecords/ingest is SERVICE-only; configuration surfaces (config, field-mapping, bb-templates mutations) are ANALYST-only; ping/health/SSE are public (EventSource cannot send headers). Enabling real enforcement in a deployed environment is one config flag (APP_SECURITY_MODE=gateway) — no code change. Audit writers switched from the hardcoded "J. Smith" to the authenticated principal</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48</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Precise numeric money columns dual-written with display strings (2026-07)</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uncalled_capital_num, cap_commit_num, aum_num, agent_bb_num (NUMERIC(20,2), absolute dollars) persist alongside the formatted display strings. Ingest writes the exact extracted decimal + rounded display; a Shadow BB commit re-derives numerics from the committed strings (clearing stale values so a fresh string always wins). The BB engine reads the exact value first and only falls back to parseMoney(display). Columns are internal — never on a DTO — so the API/UI contract is unchanged</w:t>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49</w:t>
            </w:r>
          </w:p>
        </w:tc>
        <w:tc>
          <w:tcPr>
            <w:tcW w:w="3402"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Shadow BB run is one atomic transaction (ShadowBbService); snapshots leave the service as BbSnapshotDto</w:t>
            </w:r>
          </w:p>
        </w:tc>
        <w:tc>
          <w:tcPr>
            <w:tcW w:w="3402"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LP upserts, snapshot insert, facility last_run_at/status update and audit entry commit or roll back together — no partial runs. The BbSnapshot entity stays off the wire per the no-entities-in-responses rule</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w:t>
      </w:r>
    </w:p>
    <w:p>
      <w:pPr>
        <w:pStyle w:val="Normal"/>
        <w:rPr/>
      </w:pPr>
      <w:r>
        <w:rPr/>
      </w:r>
      <w:r>
        <w:br w:type="page"/>
      </w:r>
    </w:p>
    <w:p>
      <w:pPr>
        <w:pStyle w:val="Heading1"/>
        <w:pBdr>
          <w:bottom w:val="single" w:sz="8" w:space="0" w:color="C00000"/>
        </w:pBdr>
        <w:spacing w:before="260" w:after="100"/>
        <w:rPr>
          <w:color w:val="292929"/>
        </w:rPr>
      </w:pPr>
      <w:r>
        <w:rPr>
          <w:color w:val="292929"/>
        </w:rPr>
        <w:t>Additions to §8 — Gaps and Open Questions</w:t>
      </w:r>
    </w:p>
    <w:p>
      <w:pPr>
        <w:pStyle w:val="Heading2"/>
        <w:spacing w:before="180" w:after="100"/>
        <w:rPr>
          <w:color w:val="454545"/>
        </w:rPr>
      </w:pPr>
      <w:r>
        <w:rPr>
          <w:color w:val="454545"/>
        </w:rPr>
        <w:t>New implementation gaps</w:t>
      </w:r>
    </w:p>
    <w:tbl>
      <w:tblPr>
        <w:tblW w:w="5000" w:type="pct"/>
        <w:jc w:val="left"/>
        <w:tblInd w:w="0" w:type="dxa"/>
        <w:tblLayout w:type="fixed"/>
        <w:tblCellMar>
          <w:top w:w="80" w:type="dxa"/>
          <w:left w:w="100" w:type="dxa"/>
          <w:bottom w:w="80" w:type="dxa"/>
          <w:right w:w="100" w:type="dxa"/>
        </w:tblCellMar>
      </w:tblPr>
      <w:tblGrid>
        <w:gridCol w:w="2551"/>
        <w:gridCol w:w="2551"/>
        <w:gridCol w:w="2552"/>
        <w:gridCol w:w="2551"/>
      </w:tblGrid>
      <w:tr>
        <w:trPr>
          <w:tblHeader w:val="true"/>
          <w:cantSplit w:val="true"/>
        </w:trPr>
        <w:tc>
          <w:tcPr>
            <w:tcW w:w="2551"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w:t>
            </w:r>
          </w:p>
        </w:tc>
        <w:tc>
          <w:tcPr>
            <w:tcW w:w="2551"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Gap</w:t>
            </w:r>
          </w:p>
        </w:tc>
        <w:tc>
          <w:tcPr>
            <w:tcW w:w="255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Impact</w:t>
            </w:r>
          </w:p>
        </w:tc>
        <w:tc>
          <w:tcPr>
            <w:tcW w:w="2551"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Notes</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G11</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facilities table missing operational metadata</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Facility records cannot be linked to UBS loan administration; Agent Bank Exposure report (G9) cannot be built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Requires schema migration adding account_number, loan_amount, maturity_date, bank_status, bank_status_date (Decision 30)</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G12</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template_format enum does not cover 13 of 17 active portfolio agents</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Uploads from BMO, BNYM, CIBC, City National, Lloyds, M&amp;T Bank, Mizuho, Morgan Stanley, Natixis, SMBC, Societe Generale, SVB, UBS Bank USA will be tagged UNKNOWN</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Requires enum expansion (Decision 32) in submission_extractions schema and pe-sub-extraction detection logic</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G13</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FM Dictionary has no bank-scoped aliases for Wells Fargo (either variant) or SVB</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Extraction for all three known templates falls back to heuristic column detection — low field-match confidence and increased unrecognised column count</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Requires V1_8 alias seed migration (Decision 42); full column mappings specified in §10.2–10.4</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G14</w:t>
            </w:r>
          </w:p>
        </w:tc>
        <w:tc>
          <w:tcPr>
            <w:tcW w:w="2551" w:type="dxa"/>
            <w:tcBorders>
              <w:top w:val="single" w:sz="2" w:space="0" w:color="B7B7B7"/>
              <w:left w:val="single" w:sz="2" w:space="0" w:color="B7B7B7"/>
              <w:bottom w:val="single" w:sz="2" w:space="0" w:color="B7B7B7"/>
              <w:right w:val="single" w:sz="2" w:space="0" w:color="B7B7B7"/>
            </w:tcBorders>
            <w:shd w:fill="E8F3E8" w:val="clear"/>
          </w:tcPr>
          <w:p>
            <w:pPr>
              <w:pStyle w:val="Normal"/>
              <w:widowControl w:val="false"/>
              <w:spacing w:before="0" w:after="0"/>
              <w:rPr>
                <w:b w:val="false"/>
                <w:b w:val="false"/>
                <w:bCs w:val="false"/>
                <w:color w:val="292929"/>
                <w:sz w:val="17"/>
                <w:szCs w:val="17"/>
              </w:rPr>
            </w:pPr>
            <w:r>
              <w:rPr>
                <w:b w:val="false"/>
                <w:bCs w:val="false"/>
                <w:color w:val="292929"/>
                <w:sz w:val="17"/>
                <w:szCs w:val="17"/>
              </w:rPr>
              <w:t>Class A group-header-row classification detection not implemented</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Wells Fargo Variant 1 (Blue Owl GP Stakes V) and any future Class A agent template will not auto-assign cls from group headers; all LPs require manual classification in Wizard Step 5</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pe-sub-extraction needs a parsing mode that tracks the current classification group header and stamps it on subsequent LP rows (Decision 34)</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G15</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Class C (SVB) advance rate / BB absence not handled</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SVB extractions will attempt to populate agent_rate and abb from non-existent columns; extracted values will be null; wizard must not block on these fields</w:t>
            </w:r>
          </w:p>
        </w:tc>
        <w:tc>
          <w:tcPr>
            <w:tcW w:w="2551" w:type="dxa"/>
            <w:tcBorders>
              <w:top w:val="single" w:sz="2" w:space="0" w:color="B7B7B7"/>
              <w:left w:val="single" w:sz="2" w:space="0" w:color="B7B7B7"/>
              <w:bottom w:val="single" w:sz="2" w:space="0" w:color="B7B7B7"/>
              <w:right w:val="single" w:sz="4" w:space="0" w:color="B7B7B7"/>
            </w:tcBorders>
            <w:shd w:fill="FFF2CC" w:val="clear"/>
          </w:tcPr>
          <w:p>
            <w:pPr>
              <w:pStyle w:val="Normal"/>
              <w:widowControl w:val="false"/>
              <w:spacing w:before="0" w:after="0"/>
              <w:rPr>
                <w:b w:val="false"/>
                <w:b w:val="false"/>
                <w:bCs w:val="false"/>
                <w:color w:val="292929"/>
                <w:sz w:val="17"/>
                <w:szCs w:val="17"/>
              </w:rPr>
            </w:pPr>
            <w:r>
              <w:rPr>
                <w:b w:val="false"/>
                <w:bCs w:val="false"/>
                <w:color w:val="292929"/>
                <w:sz w:val="17"/>
                <w:szCs w:val="17"/>
              </w:rPr>
              <w:t>Extraction must suppress missing-field warnings for AGENT_RATE and ABB on Class C templates; Wizard Step 5 must prompt for classification before BB can be derived (Decisions 34, 43)</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G16</w:t>
            </w:r>
          </w:p>
        </w:tc>
        <w:tc>
          <w:tcPr>
            <w:tcW w:w="2551"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~~lp_records.transferee field does not exist~~ ✅ Resolved</w:t>
            </w:r>
          </w:p>
        </w:tc>
        <w:tc>
          <w:tcPr>
            <w:tcW w:w="255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transferee BOOLEAN NOT NULL DEFAULT FALSE exists in V1_1__schema.sql</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POI colour detection still needs implementation (see G18)</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G17</w:t>
            </w:r>
          </w:p>
        </w:tc>
        <w:tc>
          <w:tcPr>
            <w:tcW w:w="2551"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~~lp_records.recallable_dist field does not exist~~ ✅ Resolved</w:t>
            </w:r>
          </w:p>
        </w:tc>
        <w:tc>
          <w:tcPr>
            <w:tcW w:w="255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recallable_dist VARCHAR(50) exists in V1_1__schema.sql</w:t>
            </w:r>
          </w:p>
        </w:tc>
        <w:tc>
          <w:tcPr>
            <w:tcW w:w="2551"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BB engine update for SVB facilities still needed (Decision 38)</w:t>
            </w:r>
          </w:p>
        </w:tc>
      </w:tr>
      <w:tr>
        <w:trPr>
          <w:cantSplit w:val="true"/>
        </w:trPr>
        <w:tc>
          <w:tcPr>
            <w:tcW w:w="2551"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G18</w:t>
            </w:r>
          </w:p>
        </w:tc>
        <w:tc>
          <w:tcPr>
            <w:tcW w:w="2551" w:type="dxa"/>
            <w:tcBorders>
              <w:top w:val="single" w:sz="2" w:space="0" w:color="B7B7B7"/>
              <w:left w:val="single" w:sz="2" w:space="0" w:color="B7B7B7"/>
              <w:bottom w:val="single" w:sz="2" w:space="0" w:color="B7B7B7"/>
              <w:right w:val="single" w:sz="2" w:space="0" w:color="B7B7B7"/>
            </w:tcBorders>
            <w:shd w:fill="E8F3E8" w:val="clear"/>
          </w:tcPr>
          <w:p>
            <w:pPr>
              <w:pStyle w:val="Normal"/>
              <w:widowControl w:val="false"/>
              <w:spacing w:before="0" w:after="0"/>
              <w:rPr>
                <w:b w:val="false"/>
                <w:b w:val="false"/>
                <w:bCs w:val="false"/>
                <w:color w:val="292929"/>
                <w:sz w:val="17"/>
                <w:szCs w:val="17"/>
              </w:rPr>
            </w:pPr>
            <w:r>
              <w:rPr>
                <w:b w:val="false"/>
                <w:bCs w:val="false"/>
                <w:color w:val="292929"/>
                <w:sz w:val="17"/>
                <w:szCs w:val="17"/>
              </w:rPr>
              <w:t>Apache POI colour extraction not implemented in pe-sub-extraction</w:t>
            </w:r>
          </w:p>
        </w:tc>
        <w:tc>
          <w:tcPr>
            <w:tcW w:w="2552" w:type="dxa"/>
            <w:tcBorders>
              <w:top w:val="single" w:sz="2" w:space="0" w:color="B7B7B7"/>
              <w:left w:val="single" w:sz="2" w:space="0" w:color="B7B7B7"/>
              <w:bottom w:val="single" w:sz="2" w:space="0" w:color="B7B7B7"/>
              <w:right w:val="single" w:sz="2"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Wells Fargo Variant 1 (Class A) row colour codes (Reclassified / Transferee) are silently ignored</w:t>
            </w:r>
          </w:p>
        </w:tc>
        <w:tc>
          <w:tcPr>
            <w:tcW w:w="2551"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Requires XSSFCellStyle.getFillForegroundColorColor() check per row in the Class A extraction path (Decision 36)</w:t>
            </w:r>
          </w:p>
        </w:tc>
      </w:tr>
      <w:tr>
        <w:trPr>
          <w:cantSplit w:val="true"/>
        </w:trPr>
        <w:tc>
          <w:tcPr>
            <w:tcW w:w="2551"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G19</w:t>
            </w:r>
          </w:p>
        </w:tc>
        <w:tc>
          <w:tcPr>
            <w:tcW w:w="2551"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~~bb_templates registry has no template_class column`~~ ✅ Resolved</w:t>
            </w:r>
          </w:p>
        </w:tc>
        <w:tc>
          <w:tcPr>
            <w:tcW w:w="2552"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template_class VARCHAR(10) NOT NULL DEFAULT 'A' exists in V1_1__schema.sql</w:t>
            </w:r>
          </w:p>
        </w:tc>
        <w:tc>
          <w:tcPr>
            <w:tcW w:w="2551"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t>
            </w:r>
          </w:p>
        </w:tc>
      </w:tr>
    </w:tbl>
    <w:p>
      <w:pPr>
        <w:pStyle w:val="Normal"/>
        <w:spacing w:before="0" w:after="120"/>
        <w:rPr/>
      </w:pPr>
      <w:r>
        <w:rPr/>
      </w:r>
    </w:p>
    <w:p>
      <w:pPr>
        <w:pStyle w:val="Heading2"/>
        <w:spacing w:before="180" w:after="100"/>
        <w:rPr>
          <w:color w:val="454545"/>
        </w:rPr>
      </w:pPr>
      <w:r>
        <w:rPr>
          <w:color w:val="454545"/>
        </w:rPr>
        <w:t>New open questions</w:t>
      </w:r>
    </w:p>
    <w:p>
      <w:pPr>
        <w:pStyle w:val="ListParagraph"/>
        <w:numPr>
          <w:ilvl w:val="0"/>
          <w:numId w:val="1"/>
        </w:numPr>
        <w:spacing w:before="0" w:after="55"/>
        <w:rPr>
          <w:color w:val="292929"/>
          <w:sz w:val="20"/>
          <w:szCs w:val="20"/>
        </w:rPr>
      </w:pPr>
      <w:r>
        <w:rPr>
          <w:color w:val="292929"/>
          <w:sz w:val="20"/>
          <w:szCs w:val="20"/>
        </w:rPr>
        <w:t>SMBC total discrepancy: Confirm whether West Street Mezz VIII ($300M) belongs in the SMBC sub-total — source appears to be a formula error (Decision 40)</w:t>
      </w:r>
    </w:p>
    <w:p>
      <w:pPr>
        <w:pStyle w:val="ListParagraph"/>
        <w:numPr>
          <w:ilvl w:val="0"/>
          <w:numId w:val="1"/>
        </w:numPr>
        <w:spacing w:before="0" w:after="55"/>
        <w:rPr>
          <w:color w:val="292929"/>
          <w:sz w:val="20"/>
          <w:szCs w:val="20"/>
        </w:rPr>
      </w:pPr>
      <w:r>
        <w:rPr>
          <w:color w:val="292929"/>
          <w:sz w:val="20"/>
          <w:szCs w:val="20"/>
        </w:rPr>
        <w:t>Wells Fargo template history: The Class A template (Blue Owl GP Stakes V) was produced under Goldman Sachs Bank USA letterhead. Confirm whether future Blue Owl GP Stakes V BB submissions from Wells Fargo will retain the Class A structure (Tranche A/B, group headers, numerical ratings) or migrate to the Class B format used for Petershill IV. Until confirmed, bb_templates should store distinct entries per facility, not just per agent bank</w:t>
      </w:r>
    </w:p>
    <w:p>
      <w:pPr>
        <w:pStyle w:val="ListParagraph"/>
        <w:numPr>
          <w:ilvl w:val="0"/>
          <w:numId w:val="1"/>
        </w:numPr>
        <w:spacing w:before="0" w:after="55"/>
        <w:rPr>
          <w:color w:val="292929"/>
          <w:sz w:val="20"/>
          <w:szCs w:val="20"/>
        </w:rPr>
      </w:pPr>
      <w:r>
        <w:rPr>
          <w:color w:val="292929"/>
          <w:sz w:val="20"/>
          <w:szCs w:val="20"/>
        </w:rPr>
        <w:t>Tranche A / Tranche B LP overlap (Class A template): Are individual LPs present in both Tranche A and Tranche B sections of the WF Variant 1 sheet, or is each LP row unique across tranches? Determines whether lps rows must be deduplicated at ingest</w:t>
      </w:r>
    </w:p>
    <w:p>
      <w:pPr>
        <w:pStyle w:val="ListParagraph"/>
        <w:numPr>
          <w:ilvl w:val="0"/>
          <w:numId w:val="1"/>
        </w:numPr>
        <w:spacing w:before="0" w:after="55"/>
        <w:rPr>
          <w:color w:val="292929"/>
          <w:sz w:val="20"/>
          <w:szCs w:val="20"/>
        </w:rPr>
      </w:pPr>
      <w:r>
        <w:rPr>
          <w:color w:val="292929"/>
          <w:sz w:val="20"/>
          <w:szCs w:val="20"/>
        </w:rPr>
        <w:t>SVB Recallable Distributions formula: Confirm whether Remaining Callable Capital = Unfunded Commitment − Recallable Distributions before implementing the BB engine update (Decision 38)</w:t>
      </w:r>
    </w:p>
    <w:p>
      <w:pPr>
        <w:pStyle w:val="ListParagraph"/>
        <w:numPr>
          <w:ilvl w:val="0"/>
          <w:numId w:val="1"/>
        </w:numPr>
        <w:spacing w:before="0" w:after="55"/>
        <w:rPr>
          <w:color w:val="292929"/>
          <w:sz w:val="20"/>
          <w:szCs w:val="20"/>
        </w:rPr>
      </w:pPr>
      <w:r>
        <w:rPr>
          <w:color w:val="292929"/>
          <w:sz w:val="20"/>
          <w:szCs w:val="20"/>
        </w:rPr>
        <w:t>Templates for 15 unclassified agents: Bank of America, JP Morgan, Morgan Stanley, SMBC, Mizuho, BMO, Natixis, CIBC, M&amp;T Bank, BNYM, Societe Generale, City National, UBS Bank USA, Lloyds, PNC — templates must be solicited from Credit before those facilities can enter active processing. Given the portfolio spans 71 facilities across 17 agents, a minimum of 17 distinct template formats is assumed with additional variants likely</w:t>
      </w:r>
    </w:p>
    <w:p>
      <w:pPr>
        <w:pStyle w:val="ListParagraph"/>
        <w:numPr>
          <w:ilvl w:val="0"/>
          <w:numId w:val="1"/>
        </w:numPr>
        <w:spacing w:before="0" w:after="55"/>
        <w:rPr>
          <w:color w:val="292929"/>
          <w:sz w:val="20"/>
          <w:szCs w:val="20"/>
        </w:rPr>
      </w:pPr>
      <w:r>
        <w:rPr>
          <w:color w:val="292929"/>
          <w:sz w:val="20"/>
          <w:szCs w:val="20"/>
        </w:rPr>
        <w:t>Multi-format agents beyond Wells Fargo: Are any of the 14 unclassified agents confirmed to use multiple template formats across their facilities? Bank of America (16 facilities) and SVB (10 facilities, 5 fund types) are the most likely candidates</w:t>
      </w:r>
    </w:p>
    <w:p>
      <w:pPr>
        <w:pStyle w:val="ListParagraph"/>
        <w:numPr>
          <w:ilvl w:val="0"/>
          <w:numId w:val="1"/>
        </w:numPr>
        <w:spacing w:before="0" w:after="55"/>
        <w:rPr>
          <w:color w:val="292929"/>
          <w:sz w:val="20"/>
          <w:szCs w:val="20"/>
        </w:rPr>
      </w:pPr>
      <w:r>
        <w:rPr>
          <w:color w:val="292929"/>
          <w:sz w:val="20"/>
          <w:szCs w:val="20"/>
        </w:rPr>
        <w:t>Multi-fund umbrella LP deduplication: For umbrella facilities (e.g., HIG LBO IV, BH III, GB&amp;E III, IV [U]), confirm whether the LP Master carries one record per LP across all sub-funds or one record per LP per sub-fund</w:t>
      </w:r>
    </w:p>
    <w:p>
      <w:pPr>
        <w:pStyle w:val="Normal"/>
        <w:spacing w:lineRule="exact" w:line="290" w:before="0" w:after="105"/>
        <w:rPr>
          <w:color w:val="292929"/>
          <w:sz w:val="20"/>
          <w:szCs w:val="20"/>
        </w:rPr>
      </w:pPr>
      <w:r>
        <w:rPr>
          <w:color w:val="292929"/>
          <w:sz w:val="20"/>
          <w:szCs w:val="20"/>
        </w:rPr>
        <w:t>---</w:t>
      </w:r>
    </w:p>
    <w:p>
      <w:pPr>
        <w:pStyle w:val="Heading2"/>
        <w:spacing w:before="180" w:after="100"/>
        <w:rPr>
          <w:color w:val="454545"/>
        </w:rPr>
      </w:pPr>
      <w:r>
        <w:rPr>
          <w:color w:val="454545"/>
        </w:rPr>
        <w:t>How the platform handles template variants</w:t>
      </w:r>
    </w:p>
    <w:p>
      <w:pPr>
        <w:pStyle w:val="Normal"/>
        <w:spacing w:lineRule="exact" w:line="290" w:before="0" w:after="105"/>
        <w:rPr>
          <w:color w:val="292929"/>
          <w:sz w:val="20"/>
          <w:szCs w:val="20"/>
        </w:rPr>
      </w:pPr>
      <w:r>
        <w:rPr>
          <w:color w:val="292929"/>
          <w:sz w:val="20"/>
          <w:szCs w:val="20"/>
        </w:rPr>
        <w:t>The three template classes above differ along predictable axes, each modelled as data in the BB template registry rather than per-bank parsing code:</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Axis</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Where configured</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Example</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Sheet + header row</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bb_templates.sheet_name, bb_template_tabs.header_row_index</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SVB has 2 summary rows above the header (summary_rows_above_header = 2)</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Tranche / tab layout</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bb_templates.tranche_count, bb_template_tabs.tab_role</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GS Blue Owl has 2 tranches (A + B)</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Column wording</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fm_aliases (live, admin-editable via Field Mapping screen)</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WF "Investor Category", SVB "Remaining Callable Capital"</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Classification section rows</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bb_template_groups (header_text → classification)</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GS "Rated Investors / Unrated Investors / Eligible Investors / Excluded Investors"; SVB "Excluded Investors"</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Sub/total rows to drop</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bb_template_tabs.skip_row_keywords</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"Subtotal", "Total", "Total included investors"</w:t>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Colour-coded flags</w:t>
            </w:r>
          </w:p>
        </w:tc>
        <w:tc>
          <w:tcPr>
            <w:tcW w:w="3402" w:type="dxa"/>
            <w:tcBorders>
              <w:top w:val="single" w:sz="2" w:space="0" w:color="B7B7B7"/>
              <w:left w:val="single" w:sz="2"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bb_templates.has_color_flags</w:t>
            </w:r>
          </w:p>
        </w:tc>
        <w:tc>
          <w:tcPr>
            <w:tcW w:w="3402"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GS pink = Reclassified, blue = Transferee</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Agent LP Classification as section rows. GS and SVB express the agent's classification as grouping rows (not a column). ClassificationRowDetector in pe-sub-extraction recognises a row whose name cell matches a configured header_text, suppresses it from the LP output, and fills its resolved classification down onto the AGENT_LP_CLASSIFICATION field of every LP below it until the next header. A populated per-row classification column (e.g. WF's "Investor Category") overrides the inherited section value. The recognised headers are the six standard Agent LP Classification values plus the per-agent classificationConfig map that pe-sub-api builds from bb_template_groups and passes on each POST /api/extract.</w:t>
      </w:r>
    </w:p>
    <w:p>
      <w:pPr>
        <w:pStyle w:val="Normal"/>
        <w:spacing w:lineRule="exact" w:line="290" w:before="0" w:after="105"/>
        <w:rPr>
          <w:color w:val="292929"/>
          <w:sz w:val="20"/>
          <w:szCs w:val="20"/>
        </w:rPr>
      </w:pPr>
      <w:r>
        <w:rPr>
          <w:color w:val="292929"/>
          <w:sz w:val="20"/>
          <w:szCs w:val="20"/>
        </w:rPr>
        <w:t>Agent vs UBS LP Classification. Agent LP Classification is the agent's own category label, extracted verbatim from the Agent BB document — either a column or group-header rows that separate sections of LPs. When supplied as section rows, the agent's value is filled down onto every LP beneath the header by pe-sub-extraction. The recognised header texts are configured per agent bank in bb_template_groups and passed to the extraction service as classificationConfig (built by ClassificationConfigBuilder). UBS LP Classification is the platform-computed internal advance-rate tier (Rated Investor / Unrated NAV &gt; $1Bn / FoF &amp; Other</w:t>
      </w:r>
    </w:p>
    <w:p>
      <w:pPr>
        <w:pStyle w:val="Normal"/>
        <w:pBdr>
          <w:left w:val="single" w:sz="28" w:space="0" w:color="C00000"/>
        </w:pBdr>
        <w:shd w:val="clear" w:fill="FCE8E6"/>
        <w:spacing w:before="80" w:after="120"/>
        <w:ind w:left="180" w:hanging="0"/>
        <w:rPr>
          <w:i/>
          <w:i/>
          <w:iCs/>
          <w:color w:val="454545"/>
          <w:sz w:val="19"/>
          <w:szCs w:val="19"/>
        </w:rPr>
      </w:pPr>
      <w:r>
        <w:rPr>
          <w:i/>
          <w:iCs/>
          <w:color w:val="454545"/>
          <w:sz w:val="19"/>
          <w:szCs w:val="19"/>
        </w:rPr>
        <w:t>$10Bn AUM / Corp Pension &gt; $5Bn Assets / Other Institutional / Excluded), kept separate so the</w:t>
      </w:r>
    </w:p>
    <w:p>
      <w:pPr>
        <w:pStyle w:val="Normal"/>
        <w:spacing w:lineRule="exact" w:line="290" w:before="0" w:after="105"/>
        <w:rPr>
          <w:color w:val="292929"/>
          <w:sz w:val="20"/>
          <w:szCs w:val="20"/>
        </w:rPr>
      </w:pPr>
      <w:r>
        <w:rPr>
          <w:color w:val="292929"/>
          <w:sz w:val="20"/>
          <w:szCs w:val="20"/>
        </w:rPr>
        <w:t>agent label can be cross-checked against the UBS tier.</w:t>
      </w:r>
    </w:p>
    <w:p>
      <w:pPr>
        <w:pStyle w:val="Normal"/>
        <w:spacing w:lineRule="exact" w:line="290" w:before="0" w:after="105"/>
        <w:rPr>
          <w:color w:val="292929"/>
          <w:sz w:val="20"/>
          <w:szCs w:val="20"/>
        </w:rPr>
      </w:pPr>
      <w:r>
        <w:rPr>
          <w:color w:val="292929"/>
          <w:sz w:val="20"/>
          <w:szCs w:val="20"/>
        </w:rPr>
        <w:t>Path to fully self-service onboarding. The Field Mapping screen already edits fm_aliases live. The remaining step is to surface bb_template_tabs and bb_template_groups in the admin Configuration screen, so an Analyst can register a new agent template variant — sheet, header row, skip keywords, column aliases, and classification sections — entirely through the UI, with no migration or deploy.</w:t>
      </w:r>
    </w:p>
    <w:p>
      <w:pPr>
        <w:pStyle w:val="Heading1"/>
        <w:pBdr>
          <w:bottom w:val="single" w:sz="8" w:space="0" w:color="C00000"/>
        </w:pBdr>
        <w:spacing w:before="260" w:after="100"/>
        <w:rPr>
          <w:color w:val="292929"/>
        </w:rPr>
      </w:pPr>
      <w:r>
        <w:rPr>
          <w:color w:val="292929"/>
        </w:rPr>
        <w:t>Logging &amp; Audit</w:t>
      </w:r>
    </w:p>
    <w:p>
      <w:pPr>
        <w:pStyle w:val="Heading1"/>
        <w:pBdr>
          <w:bottom w:val="single" w:sz="8" w:space="0" w:color="C00000"/>
        </w:pBdr>
        <w:spacing w:before="260" w:after="100"/>
        <w:rPr>
          <w:color w:val="292929"/>
        </w:rPr>
      </w:pPr>
      <w:r>
        <w:rPr>
          <w:color w:val="292929"/>
        </w:rPr>
        <w:t>PE Sub Platform Logging and Audit Design</w:t>
      </w:r>
    </w:p>
    <w:p>
      <w:pPr>
        <w:pStyle w:val="Normal"/>
        <w:rPr/>
      </w:pPr>
      <w:r>
        <w:rPr/>
      </w:r>
      <w:r>
        <w:br w:type="page"/>
      </w:r>
    </w:p>
    <w:p>
      <w:pPr>
        <w:pStyle w:val="Heading1"/>
        <w:pBdr>
          <w:bottom w:val="single" w:sz="8" w:space="0" w:color="C00000"/>
        </w:pBdr>
        <w:spacing w:before="260" w:after="100"/>
        <w:rPr>
          <w:color w:val="292929"/>
        </w:rPr>
      </w:pPr>
      <w:r>
        <w:rPr>
          <w:color w:val="292929"/>
        </w:rPr>
        <w:t>1. Purpose and decisions</w:t>
      </w:r>
    </w:p>
    <w:p>
      <w:pPr>
        <w:pStyle w:val="Normal"/>
        <w:spacing w:lineRule="exact" w:line="290" w:before="0" w:after="105"/>
        <w:rPr>
          <w:color w:val="292929"/>
          <w:sz w:val="20"/>
          <w:szCs w:val="20"/>
        </w:rPr>
      </w:pPr>
      <w:r>
        <w:rPr>
          <w:color w:val="292929"/>
          <w:sz w:val="20"/>
          <w:szCs w:val="20"/>
        </w:rPr>
        <w:t>The platform maintains two complementary records:</w:t>
      </w:r>
    </w:p>
    <w:p>
      <w:pPr>
        <w:pStyle w:val="ListParagraph"/>
        <w:numPr>
          <w:ilvl w:val="0"/>
          <w:numId w:val="1"/>
        </w:numPr>
        <w:spacing w:before="0" w:after="55"/>
        <w:rPr>
          <w:color w:val="292929"/>
          <w:sz w:val="20"/>
          <w:szCs w:val="20"/>
        </w:rPr>
      </w:pPr>
      <w:r>
        <w:rPr>
          <w:color w:val="292929"/>
          <w:sz w:val="20"/>
          <w:szCs w:val="20"/>
        </w:rPr>
        <w:t>Business audit trail — durable, append-only PostgreSQL events answering who changed or exported business data, what changed, for which facility/submission, when, and why. Audit events are transactional business records and are not replaced by application logs.</w:t>
      </w:r>
    </w:p>
    <w:p>
      <w:pPr>
        <w:pStyle w:val="ListParagraph"/>
        <w:numPr>
          <w:ilvl w:val="0"/>
          <w:numId w:val="1"/>
        </w:numPr>
        <w:spacing w:before="0" w:after="55"/>
        <w:rPr>
          <w:color w:val="292929"/>
          <w:sz w:val="20"/>
          <w:szCs w:val="20"/>
        </w:rPr>
      </w:pPr>
      <w:r>
        <w:rPr>
          <w:color w:val="292929"/>
          <w:sz w:val="20"/>
          <w:szCs w:val="20"/>
        </w:rPr>
        <w:t>Operational observability — structured JSON application logs answering which request, extraction stage, dependency, or background operation failed and how long it took. These logs are optimized for local files today and CloudWatch/Datadog/Azure Monitor later.</w:t>
      </w:r>
    </w:p>
    <w:p>
      <w:pPr>
        <w:pStyle w:val="Normal"/>
        <w:spacing w:lineRule="exact" w:line="290" w:before="0" w:after="105"/>
        <w:rPr>
          <w:color w:val="292929"/>
          <w:sz w:val="20"/>
          <w:szCs w:val="20"/>
        </w:rPr>
      </w:pPr>
      <w:r>
        <w:rPr>
          <w:color w:val="292929"/>
          <w:sz w:val="20"/>
          <w:szCs w:val="20"/>
        </w:rPr>
        <w:t>This separation avoids routing complexity for the current 10–15 user team while preserving a stable event contract. Logging must never become a second copy of the LP Master or uploaded workbook.</w:t>
      </w:r>
    </w:p>
    <w:p>
      <w:pPr>
        <w:pStyle w:val="Normal"/>
        <w:rPr/>
      </w:pPr>
      <w:r>
        <w:rPr/>
      </w:r>
      <w:r>
        <w:br w:type="page"/>
      </w:r>
    </w:p>
    <w:p>
      <w:pPr>
        <w:pStyle w:val="Heading1"/>
        <w:pBdr>
          <w:bottom w:val="single" w:sz="8" w:space="0" w:color="C00000"/>
        </w:pBdr>
        <w:spacing w:before="260" w:after="100"/>
        <w:rPr>
          <w:color w:val="292929"/>
        </w:rPr>
      </w:pPr>
      <w:r>
        <w:rPr>
          <w:color w:val="292929"/>
        </w:rPr>
        <w:t>2. Security and data-classification rules</w:t>
      </w:r>
    </w:p>
    <w:p>
      <w:pPr>
        <w:pStyle w:val="Normal"/>
        <w:spacing w:lineRule="exact" w:line="290" w:before="0" w:after="105"/>
        <w:rPr>
          <w:color w:val="292929"/>
          <w:sz w:val="20"/>
          <w:szCs w:val="20"/>
        </w:rPr>
      </w:pPr>
      <w:r>
        <w:rPr>
          <w:color w:val="292929"/>
          <w:sz w:val="20"/>
          <w:szCs w:val="20"/>
        </w:rPr>
        <w:t>Operational logs must not contain raw workbook rows/cells, LP or investor names, account numbers, tokens, cookies, request/response bodies, alias configuration payloads, or stack traces containing file content. Log identifiers, counts, hashes, column names, types, thresholds, durations, and aggregate variances instead. Filenames are sanitized to the base name and should be treated as confidential metadata.</w:t>
      </w:r>
    </w:p>
    <w:p>
      <w:pPr>
        <w:pStyle w:val="Normal"/>
        <w:spacing w:lineRule="exact" w:line="290" w:before="0" w:after="105"/>
        <w:rPr>
          <w:color w:val="292929"/>
          <w:sz w:val="20"/>
          <w:szCs w:val="20"/>
        </w:rPr>
      </w:pPr>
      <w:r>
        <w:rPr>
          <w:color w:val="292929"/>
          <w:sz w:val="20"/>
          <w:szCs w:val="20"/>
        </w:rPr>
        <w:t>Audit events may contain old/new business values only for approved mutable configuration and financial overrides. Secrets and full file contents are forbidden everywhere. Exceptions are logged with type and safe message; stack traces remain ERROR-only. Access to logs follows least privilege. Production audit retention is seven years; operational retention starts at 30 days/2 GB per service and is reviewed after volume is measured.</w:t>
      </w:r>
    </w:p>
    <w:p>
      <w:pPr>
        <w:pStyle w:val="Normal"/>
        <w:spacing w:lineRule="exact" w:line="290" w:before="0" w:after="105"/>
        <w:rPr>
          <w:color w:val="292929"/>
          <w:sz w:val="20"/>
          <w:szCs w:val="20"/>
        </w:rPr>
      </w:pPr>
      <w:r>
        <w:rPr>
          <w:color w:val="292929"/>
          <w:sz w:val="20"/>
          <w:szCs w:val="20"/>
        </w:rPr>
        <w:t>File integrity uses SHA-256. Hashes support traceability but are not secrets or substitutes for malware scanning.</w:t>
      </w:r>
    </w:p>
    <w:p>
      <w:pPr>
        <w:pStyle w:val="Normal"/>
        <w:rPr/>
      </w:pPr>
      <w:r>
        <w:rPr/>
      </w:r>
      <w:r>
        <w:br w:type="page"/>
      </w:r>
    </w:p>
    <w:p>
      <w:pPr>
        <w:pStyle w:val="Heading1"/>
        <w:pBdr>
          <w:bottom w:val="single" w:sz="8" w:space="0" w:color="C00000"/>
        </w:pBdr>
        <w:spacing w:before="260" w:after="100"/>
        <w:rPr>
          <w:color w:val="292929"/>
        </w:rPr>
      </w:pPr>
      <w:r>
        <w:rPr>
          <w:color w:val="292929"/>
        </w:rPr>
        <w:t>3. Canonical operational event envelope</w:t>
      </w:r>
    </w:p>
    <w:p>
      <w:pPr>
        <w:pStyle w:val="Normal"/>
        <w:spacing w:lineRule="exact" w:line="290" w:before="0" w:after="105"/>
        <w:rPr>
          <w:color w:val="292929"/>
          <w:sz w:val="20"/>
          <w:szCs w:val="20"/>
        </w:rPr>
      </w:pPr>
      <w:r>
        <w:rPr>
          <w:color w:val="292929"/>
          <w:sz w:val="20"/>
          <w:szCs w:val="20"/>
        </w:rPr>
        <w:t>Every JSON line contains the logger-provided timestamp, level, service, component, message, and these MDC fields when known:</w:t>
      </w:r>
    </w:p>
    <w:tbl>
      <w:tblPr>
        <w:tblW w:w="5000" w:type="pct"/>
        <w:jc w:val="left"/>
        <w:tblInd w:w="0" w:type="dxa"/>
        <w:tblLayout w:type="fixed"/>
        <w:tblCellMar>
          <w:top w:w="80" w:type="dxa"/>
          <w:left w:w="100" w:type="dxa"/>
          <w:bottom w:w="80" w:type="dxa"/>
          <w:right w:w="100" w:type="dxa"/>
        </w:tblCellMar>
      </w:tblPr>
      <w:tblGrid>
        <w:gridCol w:w="5102"/>
        <w:gridCol w:w="5103"/>
      </w:tblGrid>
      <w:tr>
        <w:trPr>
          <w:tblHeader w:val="true"/>
          <w:cantSplit w:val="true"/>
        </w:trPr>
        <w:tc>
          <w:tcPr>
            <w:tcW w:w="51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Field</w:t>
            </w:r>
          </w:p>
        </w:tc>
        <w:tc>
          <w:tcPr>
            <w:tcW w:w="5103"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Meaning</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correlation_id</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End-to-end request/file journey; accepted from X-Correlation-Id or generated as a UUID</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session_id</w:t>
            </w:r>
          </w:p>
        </w:tc>
        <w:tc>
          <w:tcPr>
            <w:tcW w:w="5103"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Optional UI session/workflow identifier from X-Session-Id; not an auth session token</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user_id</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Stable authenticated principal; system for unattended work</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user_role</w:t>
            </w:r>
          </w:p>
        </w:tc>
        <w:tc>
          <w:tcPr>
            <w:tcW w:w="5103"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Comma-separated effective roles</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tenant_id</w:t>
            </w:r>
          </w:p>
        </w:tc>
        <w:tc>
          <w:tcPr>
            <w:tcW w:w="5103" w:type="dxa"/>
            <w:tcBorders>
              <w:top w:val="single" w:sz="2" w:space="0" w:color="B7B7B7"/>
              <w:left w:val="single" w:sz="2" w:space="0" w:color="B7B7B7"/>
              <w:bottom w:val="single" w:sz="2" w:space="0" w:color="B7B7B7"/>
              <w:right w:val="single" w:sz="4" w:space="0" w:color="B7B7B7"/>
            </w:tcBorders>
            <w:shd w:fill="E8F3E8" w:val="clear"/>
          </w:tcPr>
          <w:p>
            <w:pPr>
              <w:pStyle w:val="Normal"/>
              <w:widowControl w:val="false"/>
              <w:spacing w:before="0" w:after="0"/>
              <w:rPr>
                <w:b w:val="false"/>
                <w:b w:val="false"/>
                <w:bCs w:val="false"/>
                <w:color w:val="292929"/>
                <w:sz w:val="17"/>
                <w:szCs w:val="17"/>
              </w:rPr>
            </w:pPr>
            <w:r>
              <w:rPr>
                <w:b w:val="false"/>
                <w:bCs w:val="false"/>
                <w:color w:val="292929"/>
                <w:sz w:val="17"/>
                <w:szCs w:val="17"/>
              </w:rPr>
              <w:t>Optional tenant boundary; reserved until tenancy is implemented</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fund_id / facility_id</w:t>
            </w:r>
          </w:p>
        </w:tc>
        <w:tc>
          <w:tcPr>
            <w:tcW w:w="5103"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Business scope when known</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submission_id</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Upload/workflow scope when known</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event_type</w:t>
            </w:r>
          </w:p>
        </w:tc>
        <w:tc>
          <w:tcPr>
            <w:tcW w:w="5103"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Stable dotted event name, e.g. extraction.completed</w:t>
            </w:r>
          </w:p>
        </w:tc>
      </w:tr>
      <w:tr>
        <w:trPr>
          <w:cantSplit w:val="true"/>
        </w:trPr>
        <w:tc>
          <w:tcPr>
            <w:tcW w:w="51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duration_ms</w:t>
            </w:r>
          </w:p>
        </w:tc>
        <w:tc>
          <w:tcPr>
            <w:tcW w:w="5103"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Elapsed operation time where applicable</w:t>
            </w:r>
          </w:p>
        </w:tc>
      </w:tr>
      <w:tr>
        <w:trPr>
          <w:cantSplit w:val="true"/>
        </w:trPr>
        <w:tc>
          <w:tcPr>
            <w:tcW w:w="5102" w:type="dxa"/>
            <w:tcBorders>
              <w:top w:val="single" w:sz="2" w:space="0" w:color="B7B7B7"/>
              <w:left w:val="single" w:sz="4" w:space="0" w:color="B7B7B7"/>
              <w:bottom w:val="single" w:sz="4"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outcome</w:t>
            </w:r>
          </w:p>
        </w:tc>
        <w:tc>
          <w:tcPr>
            <w:tcW w:w="5103" w:type="dxa"/>
            <w:tcBorders>
              <w:top w:val="single" w:sz="2" w:space="0" w:color="B7B7B7"/>
              <w:left w:val="single" w:sz="2" w:space="0" w:color="B7B7B7"/>
              <w:bottom w:val="single" w:sz="4"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started, succeeded, rejected, failed, or overridden</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The API returns the correlation ID in X-Correlation-Id and sends it to pe-sub-extraction. Legacy X-Transaction-Id is accepted during migration and mirrored in the response.</w:t>
      </w:r>
    </w:p>
    <w:p>
      <w:pPr>
        <w:pStyle w:val="Normal"/>
        <w:rPr/>
      </w:pPr>
      <w:r>
        <w:rPr/>
      </w:r>
      <w:r>
        <w:br w:type="page"/>
      </w:r>
    </w:p>
    <w:p>
      <w:pPr>
        <w:pStyle w:val="Heading1"/>
        <w:pBdr>
          <w:bottom w:val="single" w:sz="8" w:space="0" w:color="C00000"/>
        </w:pBdr>
        <w:spacing w:before="260" w:after="100"/>
        <w:rPr>
          <w:color w:val="292929"/>
        </w:rPr>
      </w:pPr>
      <w:r>
        <w:rPr>
          <w:color w:val="292929"/>
        </w:rPr>
        <w:t>4. Event catalog and severity</w:t>
      </w:r>
    </w:p>
    <w:tbl>
      <w:tblPr>
        <w:tblW w:w="5000" w:type="pct"/>
        <w:jc w:val="left"/>
        <w:tblInd w:w="0" w:type="dxa"/>
        <w:tblLayout w:type="fixed"/>
        <w:tblCellMar>
          <w:top w:w="80" w:type="dxa"/>
          <w:left w:w="100" w:type="dxa"/>
          <w:bottom w:w="80" w:type="dxa"/>
          <w:right w:w="100" w:type="dxa"/>
        </w:tblCellMar>
      </w:tblPr>
      <w:tblGrid>
        <w:gridCol w:w="3402"/>
        <w:gridCol w:w="3402"/>
        <w:gridCol w:w="3402"/>
      </w:tblGrid>
      <w:tr>
        <w:trPr>
          <w:tblHeader w:val="true"/>
          <w:cantSplit w:val="true"/>
        </w:trPr>
        <w:tc>
          <w:tcPr>
            <w:tcW w:w="3402" w:type="dxa"/>
            <w:tcBorders>
              <w:top w:val="single" w:sz="4" w:space="0" w:color="B7B7B7"/>
              <w:left w:val="single" w:sz="4"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Stage</w:t>
            </w:r>
          </w:p>
        </w:tc>
        <w:tc>
          <w:tcPr>
            <w:tcW w:w="3402" w:type="dxa"/>
            <w:tcBorders>
              <w:top w:val="single" w:sz="4" w:space="0" w:color="B7B7B7"/>
              <w:left w:val="single" w:sz="2" w:space="0" w:color="B7B7B7"/>
              <w:bottom w:val="single" w:sz="2" w:space="0" w:color="B7B7B7"/>
              <w:right w:val="single" w:sz="2" w:space="0" w:color="B7B7B7"/>
            </w:tcBorders>
            <w:shd w:fill="292929" w:val="clear"/>
          </w:tcPr>
          <w:p>
            <w:pPr>
              <w:pStyle w:val="Normal"/>
              <w:widowControl w:val="false"/>
              <w:spacing w:before="0" w:after="0"/>
              <w:rPr>
                <w:b/>
                <w:b/>
                <w:bCs/>
                <w:color w:val="FFFFFF"/>
                <w:sz w:val="18"/>
                <w:szCs w:val="18"/>
              </w:rPr>
            </w:pPr>
            <w:r>
              <w:rPr>
                <w:b/>
                <w:bCs/>
                <w:color w:val="FFFFFF"/>
                <w:sz w:val="18"/>
                <w:szCs w:val="18"/>
              </w:rPr>
              <w:t>Required operational events</w:t>
            </w:r>
          </w:p>
        </w:tc>
        <w:tc>
          <w:tcPr>
            <w:tcW w:w="3402" w:type="dxa"/>
            <w:tcBorders>
              <w:top w:val="single" w:sz="4" w:space="0" w:color="B7B7B7"/>
              <w:left w:val="single" w:sz="2" w:space="0" w:color="B7B7B7"/>
              <w:bottom w:val="single" w:sz="2" w:space="0" w:color="B7B7B7"/>
              <w:right w:val="single" w:sz="4" w:space="0" w:color="B7B7B7"/>
            </w:tcBorders>
            <w:shd w:fill="292929" w:val="clear"/>
          </w:tcPr>
          <w:p>
            <w:pPr>
              <w:pStyle w:val="Normal"/>
              <w:widowControl w:val="false"/>
              <w:spacing w:before="0" w:after="0"/>
              <w:rPr>
                <w:b/>
                <w:b/>
                <w:bCs/>
                <w:color w:val="FFFFFF"/>
                <w:sz w:val="18"/>
                <w:szCs w:val="18"/>
              </w:rPr>
            </w:pPr>
            <w:r>
              <w:rPr>
                <w:b/>
                <w:bCs/>
                <w:color w:val="FFFFFF"/>
                <w:sz w:val="18"/>
                <w:szCs w:val="18"/>
              </w:rPr>
              <w:t>Level</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Upload</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upload.received, upload.accepted, upload.rejected; base filename, SHA-256, bytes, extension, submission/facility IDs</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INFO; rejected input WARN; storage failure ERROR</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Template/extraction</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template.matched/template.unmatched, extraction.completed, extraction.failed; sheet count, row count, mapped/unmapped header counts, parser type, duration</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INFO; mapping anomaly WARN; parser failure ERROR</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Match queue</w:t>
            </w:r>
          </w:p>
        </w:tc>
        <w:tc>
          <w:tcPr>
            <w:tcW w:w="3402" w:type="dxa"/>
            <w:tcBorders>
              <w:top w:val="single" w:sz="2" w:space="0" w:color="B7B7B7"/>
              <w:left w:val="single" w:sz="2" w:space="0" w:color="B7B7B7"/>
              <w:bottom w:val="single" w:sz="2" w:space="0" w:color="B7B7B7"/>
              <w:right w:val="single" w:sz="2" w:space="0" w:color="B7B7B7"/>
            </w:tcBorders>
            <w:shd w:fill="FCE8E6" w:val="clear"/>
          </w:tcPr>
          <w:p>
            <w:pPr>
              <w:pStyle w:val="Normal"/>
              <w:widowControl w:val="false"/>
              <w:spacing w:before="0" w:after="0"/>
              <w:rPr>
                <w:b w:val="false"/>
                <w:b w:val="false"/>
                <w:bCs w:val="false"/>
                <w:color w:val="C00000"/>
                <w:sz w:val="17"/>
                <w:szCs w:val="17"/>
              </w:rPr>
            </w:pPr>
            <w:r>
              <w:rPr>
                <w:b w:val="false"/>
                <w:bCs w:val="false"/>
                <w:color w:val="C00000"/>
                <w:sz w:val="17"/>
                <w:szCs w:val="17"/>
              </w:rPr>
              <w:t>match.auto_decided, match.review_required; record IDs, confidence, configured threshold and rule identifiers</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INFO/WARN</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Human matching</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match.approved, match.rejected, dictionary.alias_linked; actor, target IDs, before/after decision, reason</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WARN operational plus durable audit</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Shadow BB</w:t>
            </w:r>
          </w:p>
        </w:tc>
        <w:tc>
          <w:tcPr>
            <w:tcW w:w="3402" w:type="dxa"/>
            <w:tcBorders>
              <w:top w:val="single" w:sz="2" w:space="0" w:color="B7B7B7"/>
              <w:left w:val="single" w:sz="2" w:space="0" w:color="B7B7B7"/>
              <w:bottom w:val="single" w:sz="2"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shadow_bb.completed, shadow_bb.variance, shadow_bb.overridden; aggregate inputs, outputs, thresholds, variance and approval reason</w:t>
            </w:r>
          </w:p>
        </w:tc>
        <w:tc>
          <w:tcPr>
            <w:tcW w:w="3402" w:type="dxa"/>
            <w:tcBorders>
              <w:top w:val="single" w:sz="2" w:space="0" w:color="B7B7B7"/>
              <w:left w:val="single" w:sz="2" w:space="0" w:color="B7B7B7"/>
              <w:bottom w:val="single" w:sz="2"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INFO/WARN plus durable audit for override</w:t>
            </w:r>
          </w:p>
        </w:tc>
      </w:tr>
      <w:tr>
        <w:trPr>
          <w:cantSplit w:val="true"/>
        </w:trPr>
        <w:tc>
          <w:tcPr>
            <w:tcW w:w="3402" w:type="dxa"/>
            <w:tcBorders>
              <w:top w:val="single" w:sz="2" w:space="0" w:color="B7B7B7"/>
              <w:left w:val="single" w:sz="4"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Settlement</w:t>
            </w:r>
          </w:p>
        </w:tc>
        <w:tc>
          <w:tcPr>
            <w:tcW w:w="3402" w:type="dxa"/>
            <w:tcBorders>
              <w:top w:val="single" w:sz="2" w:space="0" w:color="B7B7B7"/>
              <w:left w:val="single" w:sz="2" w:space="0" w:color="B7B7B7"/>
              <w:bottom w:val="single" w:sz="2" w:space="0" w:color="B7B7B7"/>
              <w:right w:val="single" w:sz="2"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lp_master.committed; inserted/updated/transaction counts and activation timestamp</w:t>
            </w:r>
          </w:p>
        </w:tc>
        <w:tc>
          <w:tcPr>
            <w:tcW w:w="3402" w:type="dxa"/>
            <w:tcBorders>
              <w:top w:val="single" w:sz="2" w:space="0" w:color="B7B7B7"/>
              <w:left w:val="single" w:sz="2" w:space="0" w:color="B7B7B7"/>
              <w:bottom w:val="single" w:sz="2" w:space="0" w:color="B7B7B7"/>
              <w:right w:val="single" w:sz="4" w:space="0" w:color="B7B7B7"/>
            </w:tcBorders>
            <w:shd w:fill="F4F4F4" w:val="clear"/>
          </w:tcPr>
          <w:p>
            <w:pPr>
              <w:pStyle w:val="Normal"/>
              <w:widowControl w:val="false"/>
              <w:spacing w:before="0" w:after="0"/>
              <w:rPr>
                <w:b w:val="false"/>
                <w:b w:val="false"/>
                <w:bCs w:val="false"/>
                <w:color w:val="292929"/>
                <w:sz w:val="17"/>
                <w:szCs w:val="17"/>
              </w:rPr>
            </w:pPr>
            <w:r>
              <w:rPr>
                <w:b w:val="false"/>
                <w:bCs w:val="false"/>
                <w:color w:val="292929"/>
                <w:sz w:val="17"/>
                <w:szCs w:val="17"/>
              </w:rPr>
              <w:t>INFO plus durable audit</w:t>
            </w:r>
          </w:p>
        </w:tc>
      </w:tr>
      <w:tr>
        <w:trPr>
          <w:cantSplit w:val="true"/>
        </w:trPr>
        <w:tc>
          <w:tcPr>
            <w:tcW w:w="3402" w:type="dxa"/>
            <w:tcBorders>
              <w:top w:val="single" w:sz="2" w:space="0" w:color="B7B7B7"/>
              <w:left w:val="single" w:sz="4"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Admin/export</w:t>
            </w:r>
          </w:p>
        </w:tc>
        <w:tc>
          <w:tcPr>
            <w:tcW w:w="3402" w:type="dxa"/>
            <w:tcBorders>
              <w:top w:val="single" w:sz="2" w:space="0" w:color="B7B7B7"/>
              <w:left w:val="single" w:sz="2" w:space="0" w:color="B7B7B7"/>
              <w:bottom w:val="single" w:sz="4" w:space="0" w:color="B7B7B7"/>
              <w:right w:val="single" w:sz="2"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config.changed, template.changed, dictionary.changed, report.exported; object IDs, old/new values where approved, filters, format, row count</w:t>
            </w:r>
          </w:p>
        </w:tc>
        <w:tc>
          <w:tcPr>
            <w:tcW w:w="3402" w:type="dxa"/>
            <w:tcBorders>
              <w:top w:val="single" w:sz="2" w:space="0" w:color="B7B7B7"/>
              <w:left w:val="single" w:sz="2" w:space="0" w:color="B7B7B7"/>
              <w:bottom w:val="single" w:sz="4" w:space="0" w:color="B7B7B7"/>
              <w:right w:val="single" w:sz="4" w:space="0" w:color="B7B7B7"/>
            </w:tcBorders>
            <w:shd w:fill="FFFFFF" w:val="clear"/>
          </w:tcPr>
          <w:p>
            <w:pPr>
              <w:pStyle w:val="Normal"/>
              <w:widowControl w:val="false"/>
              <w:spacing w:before="0" w:after="0"/>
              <w:rPr>
                <w:b w:val="false"/>
                <w:b w:val="false"/>
                <w:bCs w:val="false"/>
                <w:color w:val="292929"/>
                <w:sz w:val="17"/>
                <w:szCs w:val="17"/>
              </w:rPr>
            </w:pPr>
            <w:r>
              <w:rPr>
                <w:b w:val="false"/>
                <w:bCs w:val="false"/>
                <w:color w:val="292929"/>
                <w:sz w:val="17"/>
                <w:szCs w:val="17"/>
              </w:rPr>
              <w:t>INFO/WARN plus durable audit</w:t>
            </w:r>
          </w:p>
        </w:tc>
      </w:tr>
    </w:tbl>
    <w:p>
      <w:pPr>
        <w:pStyle w:val="Normal"/>
        <w:spacing w:before="0" w:after="120"/>
        <w:rPr/>
      </w:pPr>
      <w:r>
        <w:rPr/>
      </w:r>
    </w:p>
    <w:p>
      <w:pPr>
        <w:pStyle w:val="Normal"/>
        <w:spacing w:lineRule="exact" w:line="290" w:before="0" w:after="105"/>
        <w:rPr>
          <w:color w:val="292929"/>
          <w:sz w:val="20"/>
          <w:szCs w:val="20"/>
        </w:rPr>
      </w:pPr>
      <w:r>
        <w:rPr>
          <w:color w:val="292929"/>
          <w:sz w:val="20"/>
          <w:szCs w:val="20"/>
        </w:rPr>
        <w:t>Do not use WARN for normal retryable flow merely to attract attention. ERROR means an operation failed and normally includes error_type, safe error_message, and whether retry is possible.</w:t>
      </w:r>
    </w:p>
    <w:p>
      <w:pPr>
        <w:pStyle w:val="Normal"/>
        <w:rPr/>
      </w:pPr>
      <w:r>
        <w:rPr/>
      </w:r>
      <w:r>
        <w:br w:type="page"/>
      </w:r>
    </w:p>
    <w:p>
      <w:pPr>
        <w:pStyle w:val="Heading1"/>
        <w:pBdr>
          <w:bottom w:val="single" w:sz="8" w:space="0" w:color="C00000"/>
        </w:pBdr>
        <w:spacing w:before="260" w:after="100"/>
        <w:rPr>
          <w:color w:val="292929"/>
        </w:rPr>
      </w:pPr>
      <w:r>
        <w:rPr>
          <w:color w:val="292929"/>
        </w:rPr>
        <w:t>5. Audit event contract</w:t>
      </w:r>
    </w:p>
    <w:p>
      <w:pPr>
        <w:pStyle w:val="Normal"/>
        <w:spacing w:lineRule="exact" w:line="290" w:before="0" w:after="105"/>
        <w:rPr>
          <w:color w:val="292929"/>
          <w:sz w:val="20"/>
          <w:szCs w:val="20"/>
        </w:rPr>
      </w:pPr>
      <w:r>
        <w:rPr>
          <w:color w:val="292929"/>
          <w:sz w:val="20"/>
          <w:szCs w:val="20"/>
        </w:rPr>
        <w:t>Audit rows are append-only and include stable event type, actor ID/display name and role, facility/fund/submission scope, correlation ID, server timestamp, source IP, outcome, reason for overrides, and structured details. Configuration changes record old and new values. Data changes record entity IDs and changed field names; bulk changes use counts and a batch identifier rather than one row per cell.</w:t>
      </w:r>
    </w:p>
    <w:p>
      <w:pPr>
        <w:pStyle w:val="Normal"/>
        <w:spacing w:lineRule="exact" w:line="290" w:before="0" w:after="105"/>
        <w:rPr>
          <w:color w:val="292929"/>
          <w:sz w:val="20"/>
          <w:szCs w:val="20"/>
        </w:rPr>
      </w:pPr>
      <w:r>
        <w:rPr>
          <w:color w:val="292929"/>
          <w:sz w:val="20"/>
          <w:szCs w:val="20"/>
        </w:rPr>
        <w:t>Audit writes for successful business mutations occur in the same database transaction as the mutation. Failed attempts that matter for security are written independently after rollback. Application roles cannot update/delete audit rows. Facility deletion detaches the foreign key but retains history.</w:t>
      </w:r>
    </w:p>
    <w:p>
      <w:pPr>
        <w:pStyle w:val="Normal"/>
        <w:rPr/>
      </w:pPr>
      <w:r>
        <w:rPr/>
      </w:r>
      <w:r>
        <w:br w:type="page"/>
      </w:r>
    </w:p>
    <w:p>
      <w:pPr>
        <w:pStyle w:val="Heading1"/>
        <w:pBdr>
          <w:bottom w:val="single" w:sz="8" w:space="0" w:color="C00000"/>
        </w:pBdr>
        <w:spacing w:before="260" w:after="100"/>
        <w:rPr>
          <w:color w:val="292929"/>
        </w:rPr>
      </w:pPr>
      <w:r>
        <w:rPr>
          <w:color w:val="292929"/>
        </w:rPr>
        <w:t>6. Pipeline requirements</w:t>
      </w:r>
    </w:p>
    <w:p>
      <w:pPr>
        <w:pStyle w:val="ListParagraph"/>
        <w:numPr>
          <w:ilvl w:val="0"/>
          <w:numId w:val="5"/>
        </w:numPr>
        <w:spacing w:before="0" w:after="55"/>
        <w:rPr>
          <w:color w:val="292929"/>
          <w:sz w:val="20"/>
          <w:szCs w:val="20"/>
        </w:rPr>
      </w:pPr>
      <w:r>
        <w:rPr>
          <w:color w:val="292929"/>
          <w:sz w:val="20"/>
          <w:szCs w:val="20"/>
        </w:rPr>
        <w:t>API request middleware validates correlation/session header length and characters, establishes MDC, and clears it in finally to prevent virtual-thread reuse leakage.</w:t>
      </w:r>
    </w:p>
    <w:p>
      <w:pPr>
        <w:pStyle w:val="ListParagraph"/>
        <w:numPr>
          <w:ilvl w:val="0"/>
          <w:numId w:val="2"/>
        </w:numPr>
        <w:spacing w:before="0" w:after="55"/>
        <w:rPr>
          <w:color w:val="292929"/>
          <w:sz w:val="20"/>
          <w:szCs w:val="20"/>
        </w:rPr>
      </w:pPr>
      <w:r>
        <w:rPr>
          <w:color w:val="292929"/>
          <w:sz w:val="20"/>
          <w:szCs w:val="20"/>
        </w:rPr>
        <w:t>Authenticated identity and roles are added after authentication and before controller/service logs.</w:t>
      </w:r>
    </w:p>
    <w:p>
      <w:pPr>
        <w:pStyle w:val="ListParagraph"/>
        <w:numPr>
          <w:ilvl w:val="0"/>
          <w:numId w:val="2"/>
        </w:numPr>
        <w:spacing w:before="0" w:after="55"/>
        <w:rPr>
          <w:color w:val="292929"/>
          <w:sz w:val="20"/>
          <w:szCs w:val="20"/>
        </w:rPr>
      </w:pPr>
      <w:r>
        <w:rPr>
          <w:color w:val="292929"/>
          <w:sz w:val="20"/>
          <w:szCs w:val="20"/>
        </w:rPr>
        <w:t>Outbound extraction calls forward correlation, session, user, role, tenant, facility, and submission context. The extraction service treats identity headers as trusted only on its internal network.</w:t>
      </w:r>
    </w:p>
    <w:p>
      <w:pPr>
        <w:pStyle w:val="ListParagraph"/>
        <w:numPr>
          <w:ilvl w:val="0"/>
          <w:numId w:val="2"/>
        </w:numPr>
        <w:spacing w:before="0" w:after="55"/>
        <w:rPr>
          <w:color w:val="292929"/>
          <w:sz w:val="20"/>
          <w:szCs w:val="20"/>
        </w:rPr>
      </w:pPr>
      <w:r>
        <w:rPr>
          <w:color w:val="292929"/>
          <w:sz w:val="20"/>
          <w:szCs w:val="20"/>
        </w:rPr>
        <w:t>Async/background executors copy the MDC map at task submission and restore/clear it around execution. Scheduled work creates a fresh correlation ID and uses user_id=system.</w:t>
      </w:r>
    </w:p>
    <w:p>
      <w:pPr>
        <w:pStyle w:val="ListParagraph"/>
        <w:numPr>
          <w:ilvl w:val="0"/>
          <w:numId w:val="2"/>
        </w:numPr>
        <w:spacing w:before="0" w:after="55"/>
        <w:rPr>
          <w:color w:val="292929"/>
          <w:sz w:val="20"/>
          <w:szCs w:val="20"/>
        </w:rPr>
      </w:pPr>
      <w:r>
        <w:rPr>
          <w:color w:val="292929"/>
          <w:sz w:val="20"/>
          <w:szCs w:val="20"/>
        </w:rPr>
        <w:t>Metrics should eventually be derived from stable event types, but high-cardinality IDs and filenames must never become metric labels.</w:t>
      </w:r>
    </w:p>
    <w:p>
      <w:pPr>
        <w:pStyle w:val="Normal"/>
        <w:rPr/>
      </w:pPr>
      <w:r>
        <w:rPr/>
      </w:r>
      <w:r>
        <w:br w:type="page"/>
      </w:r>
    </w:p>
    <w:p>
      <w:pPr>
        <w:pStyle w:val="Heading1"/>
        <w:pBdr>
          <w:bottom w:val="single" w:sz="8" w:space="0" w:color="C00000"/>
        </w:pBdr>
        <w:spacing w:before="260" w:after="100"/>
        <w:rPr>
          <w:color w:val="292929"/>
        </w:rPr>
      </w:pPr>
      <w:r>
        <w:rPr>
          <w:color w:val="292929"/>
        </w:rPr>
        <w:t>7. Failure handling and validation</w:t>
      </w:r>
    </w:p>
    <w:p>
      <w:pPr>
        <w:pStyle w:val="Normal"/>
        <w:spacing w:lineRule="exact" w:line="290" w:before="0" w:after="105"/>
        <w:rPr>
          <w:color w:val="292929"/>
          <w:sz w:val="20"/>
          <w:szCs w:val="20"/>
        </w:rPr>
      </w:pPr>
      <w:r>
        <w:rPr>
          <w:color w:val="292929"/>
          <w:sz w:val="20"/>
          <w:szCs w:val="20"/>
        </w:rPr>
        <w:t>Logging failure must not fail the business operation, except a required durable audit write: if the audit record cannot commit with a regulated mutation, the mutation fails atomically. JSON schema smoke tests verify required envelope keys and valid one-line JSON. Integration tests verify header generation/echo, propagation to extraction, MDC cleanup, redaction, actor attribution, old/new audit values, and audit preservation.</w:t>
      </w:r>
    </w:p>
    <w:p>
      <w:pPr>
        <w:pStyle w:val="Normal"/>
        <w:rPr/>
      </w:pPr>
      <w:r>
        <w:rPr/>
      </w:r>
      <w:r>
        <w:br w:type="page"/>
      </w:r>
    </w:p>
    <w:p>
      <w:pPr>
        <w:pStyle w:val="Heading1"/>
        <w:pBdr>
          <w:bottom w:val="single" w:sz="8" w:space="0" w:color="C00000"/>
        </w:pBdr>
        <w:spacing w:before="260" w:after="100"/>
        <w:rPr>
          <w:color w:val="292929"/>
        </w:rPr>
      </w:pPr>
      <w:r>
        <w:rPr>
          <w:color w:val="292929"/>
        </w:rPr>
        <w:t>8. Rollout</w:t>
      </w:r>
    </w:p>
    <w:p>
      <w:pPr>
        <w:pStyle w:val="ListParagraph"/>
        <w:numPr>
          <w:ilvl w:val="0"/>
          <w:numId w:val="1"/>
        </w:numPr>
        <w:spacing w:before="0" w:after="55"/>
        <w:rPr>
          <w:color w:val="292929"/>
          <w:sz w:val="20"/>
          <w:szCs w:val="20"/>
        </w:rPr>
      </w:pPr>
      <w:r>
        <w:rPr>
          <w:color w:val="292929"/>
          <w:sz w:val="20"/>
          <w:szCs w:val="20"/>
        </w:rPr>
        <w:t>Phase 1: JSON encoders, correlation middleware/propagation, request and extraction summary events.</w:t>
      </w:r>
    </w:p>
    <w:p>
      <w:pPr>
        <w:pStyle w:val="ListParagraph"/>
        <w:numPr>
          <w:ilvl w:val="0"/>
          <w:numId w:val="1"/>
        </w:numPr>
        <w:spacing w:before="0" w:after="55"/>
        <w:rPr>
          <w:color w:val="292929"/>
          <w:sz w:val="20"/>
          <w:szCs w:val="20"/>
        </w:rPr>
      </w:pPr>
      <w:r>
        <w:rPr>
          <w:color w:val="292929"/>
          <w:sz w:val="20"/>
          <w:szCs w:val="20"/>
        </w:rPr>
        <w:t>Phase 2: migrate existing free-text audit details to structured JSON columns and stable event types; add old/new values for configuration, dictionary, template, override, settlement, and export events.</w:t>
      </w:r>
    </w:p>
    <w:p>
      <w:pPr>
        <w:pStyle w:val="ListParagraph"/>
        <w:numPr>
          <w:ilvl w:val="0"/>
          <w:numId w:val="1"/>
        </w:numPr>
        <w:spacing w:before="0" w:after="55"/>
        <w:rPr>
          <w:color w:val="292929"/>
          <w:sz w:val="20"/>
          <w:szCs w:val="20"/>
        </w:rPr>
      </w:pPr>
      <w:r>
        <w:rPr>
          <w:color w:val="292929"/>
          <w:sz w:val="20"/>
          <w:szCs w:val="20"/>
        </w:rPr>
        <w:t>Phase 3: add MDC task decoration for every asynchronous executor, dashboards/alerts, immutable audit archive, retention jobs, and schema/version governance.</w:t>
      </w:r>
    </w:p>
    <w:p>
      <w:pPr>
        <w:pStyle w:val="Normal"/>
        <w:spacing w:lineRule="exact" w:line="290" w:before="0" w:after="105"/>
        <w:rPr>
          <w:color w:val="292929"/>
          <w:sz w:val="20"/>
          <w:szCs w:val="20"/>
        </w:rPr>
      </w:pPr>
      <w:r>
        <w:rPr>
          <w:color w:val="292929"/>
          <w:sz w:val="20"/>
          <w:szCs w:val="20"/>
        </w:rPr>
        <w:t>Acceptance criteria: one correlation ID follows upload through extraction; every material mutation/export has one attributable audit event; an operator can diagnose a failed extraction without workbook content in logs; and all JSON lines are parseable by a standard log viewer.</w:t>
      </w:r>
    </w:p>
    <w:sectPr>
      <w:headerReference w:type="default" r:id="rId2"/>
      <w:footerReference w:type="default" r:id="rId3"/>
      <w:type w:val="nextPage"/>
      <w:pgSz w:w="11906" w:h="16838"/>
      <w:pgMar w:left="850" w:right="850" w:gutter="0" w:header="708" w:top="900" w:footer="708" w:bottom="85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swiss"/>
    <w:pitch w:val="variable"/>
  </w:font>
  <w:font w:name="Liberation Sans">
    <w:altName w:val="Arial"/>
    <w:charset w:val="00"/>
    <w:family w:val="swiss"/>
    <w:pitch w:val="variable"/>
  </w:font>
  <w:font w:name="Consolas">
    <w:charset w:val="00"/>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00"/>
      <w:jc w:val="center"/>
      <w:rPr/>
    </w:pPr>
    <w:r>
      <w:rPr>
        <w:color w:val="454545"/>
        <w:sz w:val="15"/>
        <w:szCs w:val="15"/>
      </w:rPr>
      <w:t xml:space="preserve">UBS Confidential  ·  </w:t>
    </w:r>
    <w:r>
      <w:rPr/>
      <w:fldChar w:fldCharType="begin"/>
    </w:r>
    <w:r>
      <w:rPr/>
      <w:instrText xml:space="preserve"> PAGE </w:instrText>
    </w:r>
    <w:r>
      <w:rPr/>
      <w:fldChar w:fldCharType="separate"/>
    </w:r>
    <w:r>
      <w:rPr/>
      <w:t>29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0" w:color="C00000"/>
      </w:pBdr>
      <w:spacing w:before="0" w:after="100"/>
      <w:rPr>
        <w:b/>
        <w:b/>
        <w:bCs/>
        <w:color w:val="454545"/>
        <w:sz w:val="15"/>
        <w:szCs w:val="15"/>
      </w:rPr>
    </w:pPr>
    <w:r>
      <w:rPr>
        <w:b/>
        <w:bCs/>
        <w:color w:val="454545"/>
        <w:sz w:val="15"/>
        <w:szCs w:val="15"/>
      </w:rPr>
      <w:t>PE SUB PLATFORM  |  SOLUTION DESIGN v3</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540" w:hanging="2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val="bestFit" w:percent="227"/>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color w:val="292929"/>
        <w:lang w:val="en-US" w:eastAsia="zh-CN" w:bidi="hi-IN"/>
      </w:rPr>
    </w:rPrDefault>
    <w:pPrDefault>
      <w:pPr>
        <w:suppressAutoHyphens w:val="true"/>
      </w:pPr>
    </w:pPrDefault>
  </w:docDefaults>
  <w:style w:type="paragraph" w:styleId="Normal">
    <w:name w:val="Normal"/>
    <w:qFormat/>
    <w:pPr>
      <w:widowControl/>
      <w:bidi w:val="0"/>
      <w:spacing w:before="0" w:after="100"/>
      <w:jc w:val="left"/>
    </w:pPr>
    <w:rPr>
      <w:rFonts w:ascii="Aptos" w:hAnsi="Aptos" w:eastAsia="Aptos" w:cs="Aptos"/>
      <w:color w:val="292929"/>
      <w:kern w:val="0"/>
      <w:sz w:val="20"/>
      <w:szCs w:val="20"/>
      <w:lang w:val="en-US" w:eastAsia="zh-CN" w:bidi="hi-IN"/>
    </w:rPr>
  </w:style>
  <w:style w:type="paragraph" w:styleId="Heading1">
    <w:name w:val="Heading 1"/>
    <w:basedOn w:val="Heading"/>
    <w:qFormat/>
    <w:pPr>
      <w:keepNext w:val="true"/>
      <w:spacing w:before="280" w:after="100"/>
      <w:outlineLvl w:val="0"/>
    </w:pPr>
    <w:rPr>
      <w:rFonts w:ascii="Aptos Display" w:hAnsi="Aptos Display" w:eastAsia="Aptos Display" w:cs="Aptos Display"/>
      <w:b/>
      <w:bCs/>
      <w:color w:val="292929"/>
      <w:sz w:val="31"/>
      <w:szCs w:val="31"/>
    </w:rPr>
  </w:style>
  <w:style w:type="paragraph" w:styleId="Heading2">
    <w:name w:val="Heading 2"/>
    <w:basedOn w:val="Heading"/>
    <w:qFormat/>
    <w:pPr>
      <w:keepNext w:val="true"/>
      <w:spacing w:before="220" w:after="80"/>
      <w:outlineLvl w:val="1"/>
    </w:pPr>
    <w:rPr>
      <w:rFonts w:ascii="Aptos Display" w:hAnsi="Aptos Display" w:eastAsia="Aptos Display" w:cs="Aptos Display"/>
      <w:b/>
      <w:bCs/>
      <w:color w:val="C00000"/>
      <w:sz w:val="25"/>
      <w:szCs w:val="25"/>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Reference"/>
    <w:rPr>
      <w:vertAlign w:val="superscript"/>
    </w:rPr>
  </w:style>
  <w:style w:type="character" w:styleId="FootnoteTextChar">
    <w:name w:val="Footnote Text Char"/>
    <w:link w:val="Footnot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Reference"/>
    <w:rPr>
      <w:vertAlign w:val="superscript"/>
    </w:rPr>
  </w:style>
  <w:style w:type="character" w:styleId="EndnoteTextChar">
    <w:name w:val="Endnote Text Char"/>
    <w:link w:val="Endnote"/>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rFonts w:ascii="Aptos Display" w:hAnsi="Aptos Display" w:eastAsia="Aptos Display" w:cs="Aptos Display"/>
      <w:b/>
      <w:bCs/>
      <w:color w:val="292929"/>
      <w:sz w:val="52"/>
      <w:szCs w:val="52"/>
    </w:rPr>
  </w:style>
  <w:style w:type="paragraph" w:styleId="Strong">
    <w:name w:val="Strong"/>
    <w:qFormat/>
    <w:pPr>
      <w:widowControl/>
      <w:bidi w:val="0"/>
      <w:spacing w:before="0" w:after="100"/>
      <w:jc w:val="left"/>
    </w:pPr>
    <w:rPr>
      <w:rFonts w:ascii="Aptos" w:hAnsi="Aptos" w:eastAsia="Aptos" w:cs="Aptos"/>
      <w:b/>
      <w:bCs/>
      <w:color w:val="292929"/>
      <w:kern w:val="0"/>
      <w:sz w:val="20"/>
      <w:szCs w:val="20"/>
      <w:lang w:val="en-US" w:eastAsia="zh-CN" w:bidi="hi-IN"/>
    </w:rPr>
  </w:style>
  <w:style w:type="paragraph" w:styleId="ListParagraph">
    <w:name w:val="List Paragraph"/>
    <w:qFormat/>
    <w:pPr>
      <w:widowControl/>
      <w:bidi w:val="0"/>
      <w:spacing w:before="0" w:after="100"/>
      <w:jc w:val="left"/>
    </w:pPr>
    <w:rPr>
      <w:rFonts w:ascii="Aptos" w:hAnsi="Aptos" w:eastAsia="Aptos" w:cs="Aptos"/>
      <w:color w:val="292929"/>
      <w:kern w:val="0"/>
      <w:sz w:val="20"/>
      <w:szCs w:val="20"/>
      <w:lang w:val="en-US"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Endnote">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17</TotalTime>
  <Application>LibreOffice/7.4.5.1$Windows_X86_64 LibreOffice_project/9c0871452b3918c1019dde9bfac75448afc4b57f</Application>
  <AppVersion>15.0000</AppVersion>
  <Pages>55</Pages>
  <Words>14704</Words>
  <Characters>91345</Characters>
  <CharactersWithSpaces>105156</CharactersWithSpaces>
  <Paragraphs>1770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2026-07-11T13:04:36Z</dcterms:created>
  <dc:creator>UBS Credit Technology — PE Sub Finance</dc:creator>
  <dc:description>Consolidated technical design for the PE Subscription Borrowing Base Platform</dc:description>
  <dc:language>en-US</dc:language>
  <cp:lastModifiedBy/>
  <dcterms:modified xsi:type="dcterms:W3CDTF">2026-07-11T09:41:59Z</dcterms:modified>
  <cp:revision>2</cp:revision>
  <dc:subject/>
  <dc:title>PE Sub Platform — Solution Design v3</dc:title>
</cp:coreProperties>
</file>