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that minimize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all 309 YouBike stations within 5 km of NSYSU every 10 minutes since 1 October; on teaching days the eight campus stations fall from 193 bikes at 10:00 to 7 at 18:00, and 55% of the campus stock leaves within 20 minutes of the 12:00 bell. On 10 months of Taipei trip records and 295 days of 10-minute inventory for 144 stations around NTU, our reconciliation recovers the operator’s truck moves (R² = 0.98) and shows that observed rentals understate demand by up to 2× at campus stations in the evening. A gradient-boosting predictor reaches AUC 0.93, Brier 0.080 and ECE 0.012 at a 30-minute horizon on three held-out months and transfers to NSYSU zero-shot (AUC 0.93 on 309 stations, 0.94 on campus). A discrete-event replay simulator with greedy truck policies avoids 8%,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200" w:hanging="200"/>
              <w:jc w:val="left"/>
            </w:pPr>
            <w:r>
              <w:rPr>
                <w:rFonts w:ascii="Times New Roman" w:cs="Times New Roman" w:eastAsia="PMingLiU" w:hAnsi="Times New Roman"/>
                <w:b/>
                <w:bCs/>
                <w:color w:val="0000FF"/>
                <w:sz w:val="17"/>
                <w:szCs w:val="17"/>
              </w:rPr>
              <w:t xml:space="preserve">What has been done since the proposal (HW1)</w:t>
            </w:r>
          </w:p>
          <w:p>
            <w:pPr>
              <w:keepLines/>
              <w:spacing w:after="0" w:line="220"/>
              <w:ind w:left="200" w:hanging="200"/>
              <w:jc w:val="left"/>
            </w:pPr>
            <w:r>
              <w:rPr>
                <w:rFonts w:ascii="Times New Roman" w:cs="Times New Roman" w:eastAsia="PMingLiU" w:hAnsi="Times New Roman"/>
                <w:color w:val="0000FF"/>
                <w:sz w:val="16"/>
                <w:szCs w:val="16"/>
              </w:rPr>
              <w:t xml:space="preserve">1. NSYSU data: a 10-minute logger for 309 stations, running since 1 Oct (Sec. 2.2); 14 complete days analysed (Sec. 3.2).</w:t>
            </w:r>
          </w:p>
          <w:p>
            <w:pPr>
              <w:keepLines/>
              <w:spacing w:after="0" w:line="220"/>
              <w:ind w:left="200" w:hanging="200"/>
              <w:jc w:val="left"/>
            </w:pPr>
            <w:r>
              <w:rPr>
                <w:rFonts w:ascii="Times New Roman" w:cs="Times New Roman" w:eastAsia="PMingLiU" w:hAnsi="Times New Roman"/>
                <w:color w:val="0000FF"/>
                <w:sz w:val="16"/>
                <w:szCs w:val="16"/>
              </w:rPr>
              <w:t xml:space="preserve">2. NTU data: 10.2 M trips and 295 days of inventory turned into hourly flows, a 10-minute panel and a reconciliation table (Secs. 2.2–2.3).</w:t>
            </w:r>
          </w:p>
          <w:p>
            <w:pPr>
              <w:keepLines/>
              <w:spacing w:after="0" w:line="220"/>
              <w:ind w:left="200" w:hanging="200"/>
              <w:jc w:val="left"/>
            </w:pPr>
            <w:r>
              <w:rPr>
                <w:rFonts w:ascii="Times New Roman" w:cs="Times New Roman" w:eastAsia="PMingLiU" w:hAnsi="Times New Roman"/>
                <w:color w:val="0000FF"/>
                <w:sz w:val="16"/>
                <w:szCs w:val="16"/>
              </w:rPr>
              <w:t xml:space="preserve">3. Demand reconstruction and operator-move inference implemented and validated (Secs. 2.3, 3.3).</w:t>
            </w:r>
          </w:p>
          <w:p>
            <w:pPr>
              <w:keepLines/>
              <w:spacing w:after="0" w:line="220"/>
              <w:ind w:left="200" w:hanging="200"/>
              <w:jc w:val="left"/>
            </w:pPr>
            <w:r>
              <w:rPr>
                <w:rFonts w:ascii="Times New Roman" w:cs="Times New Roman" w:eastAsia="PMingLiU" w:hAnsi="Times New Roman"/>
                <w:color w:val="0000FF"/>
                <w:sz w:val="16"/>
                <w:szCs w:val="16"/>
              </w:rPr>
              <w:t xml:space="preserve">4. Stockout predictor trained, calibrated and ablated on three held-out months (Secs. 2.4, 3.4).</w:t>
            </w:r>
          </w:p>
          <w:p>
            <w:pPr>
              <w:keepLines/>
              <w:spacing w:after="0" w:line="220"/>
              <w:ind w:left="200" w:hanging="200"/>
              <w:jc w:val="left"/>
            </w:pPr>
            <w:r>
              <w:rPr>
                <w:rFonts w:ascii="Times New Roman" w:cs="Times New Roman" w:eastAsia="PMingLiU" w:hAnsi="Times New Roman"/>
                <w:color w:val="0000FF"/>
                <w:sz w:val="16"/>
                <w:szCs w:val="16"/>
              </w:rPr>
              <w:t xml:space="preserve">5. NTU→NSYSU transfer study completed for the predictor (Secs. 2.5, 3.5).</w:t>
            </w:r>
          </w:p>
          <w:p>
            <w:pPr>
              <w:keepLines/>
              <w:spacing w:after="0" w:line="220"/>
              <w:ind w:left="200" w:hanging="200"/>
              <w:jc w:val="left"/>
            </w:pPr>
            <w:r>
              <w:rPr>
                <w:rFonts w:ascii="Times New Roman" w:cs="Times New Roman" w:eastAsia="PMingLiU" w:hAnsi="Times New Roman"/>
                <w:color w:val="0000FF"/>
                <w:sz w:val="16"/>
                <w:szCs w:val="16"/>
              </w:rPr>
              <w:t xml:space="preserve">6. Replay simulator with four policies and 1/3/6 trucks on 28 held-out days (Secs. 2.6, 3.6).</w:t>
            </w:r>
          </w:p>
          <w:p>
            <w:pPr>
              <w:keepLines/>
              <w:spacing w:after="0" w:line="220"/>
              <w:ind w:left="200" w:hanging="200"/>
              <w:jc w:val="left"/>
            </w:pPr>
            <w:r>
              <w:rPr>
                <w:rFonts w:ascii="Times New Roman" w:cs="Times New Roman" w:eastAsia="PMingLiU" w:hAnsi="Times New Roman"/>
                <w:color w:val="0000FF"/>
                <w:sz w:val="16"/>
                <w:szCs w:val="16"/>
              </w:rPr>
              <w:t xml:space="preserve">Not yet done: route-search planner, censored-demand replay,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the strip shows the share of empty stations. (b) NSYSU at 17:12, 28 Sep 2026 [12].</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[2]) serve to reconstruct demand and operator moves, to train a schedule-aware gradient-boosting predictor with reliability checks, and to drive a rolling-horizon route planner; policies are compared in a replay simulator fed with real trips. The predictor is then ported to NSYSU with locally logged inventory [12] for a live web demo.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inventory logger (logger/fetch_youbike.py)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Our logger runs in GitHub Actions and commits one CSV row per station and 10-minute slot: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Scope: the 309 stations within 5 km of NSYSU (area code 12); the eight on-campus stations and eleven gateway stations between campus and the KRT are tagged for analysis.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Reliability: GitHub throttles scheduled jobs in quiet repositories (4 runs on our first day), so one run logs for 340 minutes and dispatches its successor before it ends; an hourly cron only restarts a broken chain, and a guard script keeps a single run active.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 144 snapshots per day since 2 Oct (one 6-hour gap on 12 Oct); station status 2 (out of service) is stored so that an offline station is never counted as a stockout.</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time, rent station, return time, return station and duration for every ride, with times truncated to the hour and stations given by name. Each monthly zip (6–7 M rows) is streamed in chunks; rides with either end among the study stations are kept; names are matched to station ids through the station table of [2]; rentals and returns are summed per station and hour. Ten months (Sep 2024–Jun 2025) give 10.2 M rides in the study area and take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(about 95 per station per day). Stations report only when something changes, so a quiet night produces no rows while a daytime silence of hours means the station is offline. We forward-fill onto a 10-minute grid and mark a value unknown when the last report is older than 120 min during 07:00–23:00 or 600 min otherwise, giving 6.1 M station-slots with 7.9% unknown, concentrated in a collection outage on 1–16 Oct 2024.</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on the hour from 10:00 to 18:00, then 19:10, 20:10, 21:10). Taiwanese public holidays and the semester calendars (NTU: 2 Sep 2024–10 Jan 2025 and 17 Feb–13 Jun 2025; NSYSU: from 7 Sep 2026) define the off-day and semester-week features.</w:t>
      </w:r>
    </w:p>
    <w:p>
      <w:pPr>
        <w:keepNext/>
        <w:spacing w:after="30" w:before="9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the inventory change decomposes into returns, rentals, the operator’s net truck move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noise:</w:t>
      </w:r>
    </w:p>
    <w:p>
      <w:pPr>
        <w:tabs>
          <w:tab w:val="right" w:pos="4677"/>
        </w:tabs>
        <w:spacing w:after="40" w:before="40" w:line="240"/>
        <w:ind w:left="600"/>
        <w:jc w:val="left"/>
      </w:pPr>
      <w:r>
        <w:rPr>
          <w:rFonts w:ascii="Times New Roman" w:cs="Times New Roman" w:eastAsia="PMingLiU" w:hAnsi="Times New Roman"/>
          <w:sz w:val="20"/>
          <w:szCs w:val="20"/>
        </w:rPr>
        <w:t xml:space="preserve">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sz w:val="20"/>
          <w:szCs w:val="20"/>
        </w:rPr>
        <w:t xml:space="preserve">Residuals accumulated over 3-hour windows with |Σ(Δ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bikes are labelled as truck moves [10], giving an observed operator policy. For censoring, slots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[8, 9]:</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the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Implementation details (ntu_pipeline.py reconcile, ntu_demand.py):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stock at the start of each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the rate is estimated per station, day type (teaching day / off-day) and hour;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two validity checks are reported in Sec. 3.3: the R² of Δs against (q − r) on hours without inferred moves (how well trips alone explain inventory) and the R² for reproducing the next-hour stock once inferred moves are added, which the proposal required to exceed 0.8 before the inferred policy may serve as a benchmark;</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hourly.parquet (stock, flows, residual, move flag, exposure per station-hour) and rates.csv (naive and censoring-corrected rates).</w:t>
      </w:r>
    </w:p>
    <w:p>
      <w:pPr>
        <w:keepNext/>
        <w:spacing w:after="30" w:before="9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describe time, the timetable, the station’s state and its neighbours; baselines are persistence and the seasonal mean; the model is gradient boosting with reliability checks. </w:t>
      </w:r>
      <w:r>
        <w:rPr>
          <w:rFonts w:ascii="Times New Roman" w:cs="Times New Roman" w:eastAsia="PMingLiU" w:hAnsi="Times New Roman"/>
          <w:color w:val="0000FF"/>
          <w:sz w:val="20"/>
          <w:szCs w:val="20"/>
        </w:rPr>
        <w:t xml:space="preserve">The implemented predictor is a direct classifier of the label in Eq. (1), built for 06:00–23:00 (features.py, train_predictor.py). Table 1 lists the 28 features; the first 22 need only inventory and are the set used for transfer.</w:t>
      </w:r>
    </w:p>
    <w:p>
      <w:pPr>
        <w:keepNext/>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(30, 60 min)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and the seasonal mean of the label per station, day type and slot.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persistence, and a seasonal baseline fitted on the six training days (2–7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inventory-only model applied zero-shot;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model fine-tuned by continuing boosting on the NSYSU training days (learning rate 0.02, early stopping on 8–9 Oct);</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model trained on NSYSU days only.</w:t>
      </w:r>
    </w:p>
    <w:p>
      <w:pPr>
        <w:spacing w:after="0" w:line="240"/>
        <w:ind w:firstLine="288"/>
        <w:jc w:val="both"/>
      </w:pPr>
      <w:r>
        <w:rPr>
          <w:rFonts w:ascii="Times New Roman" w:cs="Times New Roman" w:eastAsia="PMingLiU" w:hAnsi="Times New Roman"/>
          <w:color w:val="0000FF"/>
          <w:sz w:val="20"/>
          <w:szCs w:val="20"/>
        </w:rPr>
        <w:t xml:space="preserve">Results are reported for all 309 stations, the 19 stations of the campus–KRT corridor and the 8 campus stations.</w:t>
      </w:r>
    </w:p>
    <w:p>
      <w:pPr>
        <w:keepNext/>
        <w:spacing w:after="30" w:before="9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A discrete-event replay simulator consumes real held-out trips: a rental is served only if stock &gt; 0, otherwise it counts as unmet, while the truck follows the policy under test. Metrics: unmet rentals, empty station-minutes, truck-km.</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Each day runs from 06:00 to 23:00; the initial stock is the 06:00 snapshot.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Recorded rentals at the 144 stations are placed uniformly at random within their recorded hour (seeded). A served rental generates the return of that ride after its recorded duration; an unserved one disappears. Rides from outside the area arrive as recorded.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full station redirects a return to the nearest station with a free dock.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i.e. it replays what actually happened to the inventory without truck constraints. The rolling-horizon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11.</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three months never seen by the model). NSYSU uses 2–7 Oct for training, 8–9 Oct for validation and 10–15 Oct for testing. The replay simulator uses the 28 in-semester weekdays of the test period with ≥ 95% snapshot coverage (1 Apr–13 Jun 2025). Everything runs on a 2-vCPU, 7 GB container with Python 3.11, pandas 3.0, LightGBM 4.7 and scikit-learn 1.8: building the 4.3 M-row feature table takes 21 s, training the four NTU models 5 min, one simulated day with five policies about 3 s.</w:t>
      </w:r>
    </w:p>
    <w:p>
      <w:pPr>
        <w:keepNext/>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 4 summarizes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Fig. 5 aligns the drops on the bell: the 17:00 bell removes 88% of what is left.</w:t>
      </w:r>
    </w:p>
    <w:p>
      <w:pPr>
        <w:keepNext/>
        <w:spacing w:after="40" w:before="120"/>
        <w:jc w:val="center"/>
      </w:pPr>
      <w:r>
        <w:drawing>
          <wp:inline distT="0" distB="0" distL="0" distR="0">
            <wp:extent cx="294322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29908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(a) Bikes available at the 8 campus stations and the 2 KRT Sizihwan exits; dashed = weekend campus mean. (b) Probability that a station is empty, by time of day, for the campus stations, the KRT exits and the four busiest gateway stations.</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 mean of 30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Campus stock relative to 10 minutes before the bell, NSYSU weekdays.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The operator moves about 2,550 bikes into and 2,160 bikes out of the area per day, 10% of the 25,700 daily rentals. Fig. 6 shows a reactive pattern: pick-ups from campus peak at 08:00–09:00 after the morning inflow, drop-offs at campus peak at 16:00–17:00, and the ring is emptied at 17:00; only 19% of campus drop-offs happen in the hour before a major bell.</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spacing w:after="0" w:line="240"/>
        <w:ind w:firstLine="288"/>
        <w:jc w:val="both"/>
      </w:pPr>
      <w:r>
        <w:rPr>
          <w:rFonts w:ascii="Times New Roman" w:cs="Times New Roman" w:eastAsia="PMingLiU" w:hAnsi="Times New Roman"/>
          <w:color w:val="0000FF"/>
          <w:sz w:val="20"/>
          <w:szCs w:val="20"/>
        </w:rPr>
        <w:t xml:space="preserve">Fig. 7 shows the censoring correction for campus stations on weekdays: observed rentals understate demand by 8% at 12:00, 17% at 17:00, 39% at 18:00 and 2.1× at 22:00, because campus stations are empty 46% of the time at 17:00–19:00. These corrected rates are the demand input of the planner.</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5430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 3 and Fig. 8 give the test results. At the 30-minute horizon the full model reaches AUC 0.931 and Brier 0.080, against 0.818 / 0.126 for the seasonal baseline and 0.742 / 0.125 for persistence; the inventory-only model is close behind (0.921 / 0.084), so trip flows add little once the current stock and its trend are known. Calibration is good without post-processing: ECE 0.012 and a reliability curve on the diagonal up to p = 0.9 (Fig. 8a), while the seasonal baseline under-predicts at high probabilities. Performance is higher on campus stations (AUC 0.945) and lower in the 40 minutes after a major bell (0.905), where the surge is fastest. At 60 minutes AUC drops to 0.916 (full) and 0.898 (inventory-only).</w:t>
      </w:r>
    </w:p>
    <w:p>
      <w:pPr>
        <w:keepNext/>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GBM + flows also uses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700"/>
        <w:gridCol w:w="700"/>
        <w:gridCol w:w="700"/>
        <w:gridCol w:w="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h</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0.125</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0.125</w:t>
            </w:r>
          </w:p>
        </w:tc>
        <w:tc>
          <w:tcPr>
            <w:tcW w:type="dxa" w:w="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0.178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0.698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0.178</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0.149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0.017</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225</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905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bell features contribute almost nothing: the ablation without group B changes AUC by less than 0.002 on every subset, including campus slots 0–30 min before a bell. Hour of day already encodes a fixed timetable. The hard cases are stations that are still well stocked 30 minutes before a bell (AUC 0.79 at h = 30); they are the target of the second half, through longer horizons, demand-rate features from Sec. 2.3 and a timetable-intensity feature built from the course catalogue (number of classes ending at each period on each weekday).</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9 and Table 4 show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w:t>
      </w:r>
    </w:p>
    <w:p>
      <w:pPr>
        <w:keepNext/>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NSYSU test days (10–15 Oct 2026), h = 30 min; AUC / 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 / 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 / 0.104</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0.651 / 0.096</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0.789 / 0.129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0.934 / 0.049</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0.944 / 0.068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0.945 / 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 / 0.069</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76212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AUC at NSYSU, h = 30 min, for the five models of Sec. 2.5.</w:t>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5 and Fig. 10 give the policies. One truck avoids 5–8% of unmet rentals with 55–67 km of driving; three trucks 16–17%; six trucks 25–27%. The probabilistic policy is best on every fleet size and the point-forecast policy worst, but the margins on unmet rentals are small (27% vs. 26% vs. 25% with six trucks).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w:t>
      </w:r>
    </w:p>
    <w:p>
      <w:pPr>
        <w:keepNext/>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Replay of 28 NTU weekdays (Apr–Jun 2025), per-day means;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77"/>
        <w:gridCol w:w="640"/>
        <w:gridCol w:w="700"/>
        <w:gridCol w:w="900"/>
        <w:gridCol w:w="700"/>
        <w:gridCol w:w="560"/>
      </w:tblGrid>
      <w:tr>
        <w:trPr>
          <w:cantSplit/>
          <w:tblHeader/>
        </w:trPr>
        <w:tc>
          <w:tcPr>
            <w:tcW w:type="dxa" w:w="11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6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trucks</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9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5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6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9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5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16,300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3,209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17,280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3,135</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16,527</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2,820</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13,743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2,863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16,450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2,806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2,496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10,503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2,543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15,269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2,489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10,529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6764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Reduction of (a) unmet rentals and (b) empty station-minutes relative to no rebalancing, by policy and fleet size.</w:t>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Fig. 12 updates the schedule: data pipeline and demand reconstruction are complete, the predictor is trained and transferred ahead of plan, and the simulator exists two weeks early, with the planner still greedy. Of the proposal’s three fallbacks, none was needed: Kaohsiung history is being collected by our own logger, the probabilistic policy does beat the point forecast, and local search is on schedule.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longer horizons, demand-rate and timetable-intensity features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11) and, after four more weeks of logging, a transfer study by week of local data.</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248602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11.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43225" cy="16287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12. </w:t>
      </w:r>
      <w:r>
        <w:rPr>
          <w:rFonts w:ascii="Times New Roman" w:cs="Times New Roman" w:eastAsia="PMingLiU" w:hAnsi="Times New Roman"/>
          <w:color w:val="0000FF"/>
          <w:sz w:val="17"/>
          <w:szCs w:val="17"/>
        </w:rPr>
        <w:t xml:space="preserve">Schedule with completion at 29 Oct (dark = done; PL 林沛霆, JC 陳佳晨, SL 林詩穎).</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the calibration and transfer studies; 林詩穎 (SL) owns the predictor, the ablations and the demo. All code, tables, model files, metrics and figures are in the public repository [17] under analysis/; its README documents how to rebuild every table from the raw sources.</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45f85663083d61798bfbe7e524e93ca183a75b.png"/><Relationship Id="rId8" Type="http://schemas.openxmlformats.org/officeDocument/2006/relationships/image" Target="media/1e1c855117f7346ab7507acd9e761e70b8939c50.png"/><Relationship Id="rId9" Type="http://schemas.openxmlformats.org/officeDocument/2006/relationships/image" Target="media/8cd5535de6bbc3442220f8b3acbc29fa9f89936f.png"/><Relationship Id="rId10" Type="http://schemas.openxmlformats.org/officeDocument/2006/relationships/image" Target="media/a485ae54ae7976df00d626b4c3a44bcea8b6255f.png"/><Relationship Id="rId11" Type="http://schemas.openxmlformats.org/officeDocument/2006/relationships/image" Target="media/1d5180e3819f638d7344beb4c2393f85a2c2a191.png"/><Relationship Id="rId12" Type="http://schemas.openxmlformats.org/officeDocument/2006/relationships/image" Target="media/564b2d401c4beaaa28a30c76fd94fb208ce1fec7.png"/><Relationship Id="rId13" Type="http://schemas.openxmlformats.org/officeDocument/2006/relationships/image" Target="media/c16e2b53867c022b5dce255b8147ea48efd5bad7.png"/><Relationship Id="rId14" Type="http://schemas.openxmlformats.org/officeDocument/2006/relationships/image" Target="media/0010ff1a8da623a3c231c0cbd96cea06e7eb6751.png"/><Relationship Id="rId15" Type="http://schemas.openxmlformats.org/officeDocument/2006/relationships/image" Target="media/f9fedf130c713223a0187c0524e8d0737251ec7c.png"/><Relationship Id="rId16" Type="http://schemas.openxmlformats.org/officeDocument/2006/relationships/image" Target="media/9a2c15175794e865fe050e673894994cc6d93ab1.png"/><Relationship Id="rId17" Type="http://schemas.openxmlformats.org/officeDocument/2006/relationships/image" Target="media/300e9aa0d1b26658896c8c54368c965514ae513c.png"/><Relationship Id="rId18" Type="http://schemas.openxmlformats.org/officeDocument/2006/relationships/image" Target="media/63539b12149a7c51a176fcc036b60a85f8480fd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2026-10-15T17:59:24.644Z</dcterms:created>
  <dcterms:modified xsi:type="dcterms:W3CDTF">2026-10-15T17:59:24.644Z</dcterms:modified>
</cp:coreProperties>
</file>

<file path=docProps/custom.xml><?xml version="1.0" encoding="utf-8"?>
<Properties xmlns="http://schemas.openxmlformats.org/officeDocument/2006/custom-properties" xmlns:vt="http://schemas.openxmlformats.org/officeDocument/2006/docPropsVTypes"/>
</file>