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6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that minimize expected unmet rentals plus travel cost. </w:t>
      </w:r>
      <w:r>
        <w:rPr>
          <w:rFonts w:ascii="Times New Roman" w:cs="Times New Roman" w:eastAsia="PMingLiU" w:hAnsi="Times New Roman"/>
          <w:i/>
          <w:iCs/>
          <w:color w:val="0000FF"/>
          <w:sz w:val="20"/>
          <w:szCs w:val="20"/>
        </w:rPr>
        <w:t xml:space="preserve">This midterm report delivers the first three stages on real data. A logger has recorded all 309 YouBike stations within 5 km of NSYSU every 10 minutes since 1 October; at the eight campus stations bikes fall from 193 at 10:00 to 7 at 18:00 on teaching days, and 55% of the campus stock leaves within 20 minutes of the 12:00 bell. On 10 months of Taipei trip records and 295 days of 10-minute inventory for 144 stations around NTU, our reconciliation recovers the operator’s truck moves (R² = 0.98 for reproducing inventories) and shows that observed rentals understate demand by up to 2× at campus stations in the evening. A gradient-boosting predictor reaches AUC 0.93, Brier 0.080 and ECE 0.012 at a 30-minute horizon on three held-out months, and transfers to NSYSU zero-shot (AUC 0.93 on 309 stations, 0.94 on campus). A discrete-event replay simulator with greedy truck policies avoids 8%, 17% and 27% of unmet rentals with 1, 3 and 6 trucks; the probabilistic policy also cuts empty station-minutes by 41%. The remaining work is the route-search planner and the live NSYSU demo.</w:t>
      </w:r>
    </w:p>
    <w:p>
      <w:pPr>
        <w:keepNext/>
        <w:spacing w:after="30" w:before="100" w:line="240"/>
      </w:pPr>
      <w:r>
        <w:rPr>
          <w:rFonts w:ascii="Times New Roman" w:cs="Times New Roman" w:eastAsia="PMingLiU" w:hAnsi="Times New Roman"/>
          <w:b/>
          <w:bCs/>
          <w:sz w:val="24"/>
          <w:szCs w:val="24"/>
        </w:rPr>
        <w:t xml:space="preserve">1. Introduction</w:t>
      </w:r>
    </w:p>
    <w:p>
      <w:pPr>
        <w:keepNext/>
        <w:spacing w:after="30" w:before="8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confirm that the snapshot was typical rather than unlucky: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10" w:before="40"/>
        <w:jc w:val="center"/>
      </w:pPr>
      <w:r>
        <w:drawing>
          <wp:inline distT="0" distB="0" distL="0" distR="0">
            <wp:extent cx="2238375"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38375" cy="1857375"/>
                    </a:xfrm>
                    <a:prstGeom prst="rect">
                      <a:avLst/>
                    </a:prstGeom>
                  </pic:spPr>
                </pic:pic>
              </a:graphicData>
            </a:graphic>
          </wp:inline>
        </w:drawing>
      </w:r>
    </w:p>
    <w:p>
      <w:pPr>
        <w:spacing w:after="6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orange = period ends; strip = share of empty stations. (b) NSYSU at 17:12, 28 Sep 2026 [12].</w:t>
      </w:r>
    </w:p>
    <w:p>
      <w:pPr>
        <w:keepNext/>
        <w:spacing w:after="30" w:before="8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 </w:t>
      </w: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i/>
          <w:iCs/>
          <w:color w:val="0000FF"/>
          <w:sz w:val="20"/>
          <w:szCs w:val="20"/>
        </w:rPr>
        <w:t xml:space="preserve">Stockout prediction: </w:t>
      </w:r>
      <w:r>
        <w:rPr>
          <w:rFonts w:ascii="Times New Roman" w:cs="Times New Roman" w:eastAsia="PMingLiU" w:hAnsi="Times New Roman"/>
          <w:color w:val="0000FF"/>
          <w:sz w:val="20"/>
          <w:szCs w:val="20"/>
        </w:rPr>
        <w:t xml:space="preserve">for every station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P(min</w:t>
      </w:r>
      <w:r>
        <w:rPr>
          <w:rFonts w:ascii="Times New Roman" w:cs="Times New Roman" w:eastAsia="PMingLiU" w:hAnsi="Times New Roman"/>
          <w:color w:val="0000FF"/>
          <w:sz w:val="20"/>
          <w:szCs w:val="20"/>
          <w:vertAlign w:val="subscript"/>
        </w:rPr>
        <w:t xml:space="preserve">τ∈(t,t+h]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for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i/>
          <w:i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evaluated by replaying the real trips of held-out days.</w:t>
      </w:r>
    </w:p>
    <w:p>
      <w:pPr>
        <w:keepNext/>
        <w:spacing w:after="30" w:before="8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For the predictor we use gradient-boosted decision trees [13], which handle the mixed count and categorical features natively, and we measure probability quality with the Brier score [15] and the expected calibration error [14] rather than accuracy, because the planner consumes probabilities.</w:t>
      </w:r>
    </w:p>
    <w:p>
      <w:pPr>
        <w:keepNext/>
        <w:spacing w:after="30" w:before="80" w:line="240"/>
      </w:pPr>
      <w:r>
        <w:rPr>
          <w:rFonts w:ascii="Times New Roman" w:cs="Times New Roman" w:eastAsia="PMingLiU" w:hAnsi="Times New Roman"/>
          <w:b/>
          <w:bCs/>
          <w:sz w:val="22"/>
          <w:szCs w:val="22"/>
        </w:rPr>
        <w:t xml:space="preserve">1.4. Proposed solution</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at midterm: (2) is complete for both campuses (Secs. 3.2–3.3); (1) is implemented end to end with a greedy planner and evaluated in the simulator (Sec. 3.6); (3) is complete for the predictor (Sec. 3.5). Code, data tables and results are public [17].</w:t>
      </w:r>
    </w:p>
    <w:p>
      <w:pPr>
        <w:keepNext/>
        <w:spacing w:after="10" w:before="40"/>
        <w:jc w:val="center"/>
      </w:pPr>
      <w:r>
        <w:drawing>
          <wp:inline distT="0" distB="0" distL="0" distR="0">
            <wp:extent cx="28956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95600" cy="1085850"/>
                    </a:xfrm>
                    <a:prstGeom prst="rect">
                      <a:avLst/>
                    </a:prstGeom>
                  </pic:spPr>
                </pic:pic>
              </a:graphicData>
            </a:graphic>
          </wp:inline>
        </w:drawing>
      </w:r>
    </w:p>
    <w:p>
      <w:pPr>
        <w:spacing w:after="6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30" w:before="100" w:line="240"/>
      </w:pPr>
      <w:r>
        <w:rPr>
          <w:rFonts w:ascii="Times New Roman" w:cs="Times New Roman" w:eastAsia="PMingLiU" w:hAnsi="Times New Roman"/>
          <w:b/>
          <w:bCs/>
          <w:sz w:val="24"/>
          <w:szCs w:val="24"/>
        </w:rPr>
        <w:t xml:space="preserve">2. Method</w:t>
      </w:r>
    </w:p>
    <w:p>
      <w:pPr>
        <w:keepNext/>
        <w:spacing w:after="30" w:before="8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implemented.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Every module is a short Python script in the repository [17] and every table can be regenerated from the raw sources with the commands in its README.</w:t>
      </w:r>
    </w:p>
    <w:p>
      <w:pPr>
        <w:keepNext/>
        <w:spacing w:after="10" w:before="40"/>
        <w:jc w:val="center"/>
      </w:pPr>
      <w:r>
        <w:drawing>
          <wp:inline distT="0" distB="0" distL="0" distR="0">
            <wp:extent cx="29432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21932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and decision or evaluation modules (orange). Section numbers refer to this report.</w:t>
      </w:r>
    </w:p>
    <w:p>
      <w:pPr>
        <w:keepNext/>
        <w:spacing w:after="30" w:before="80" w:line="240"/>
      </w:pPr>
      <w:r>
        <w:rPr>
          <w:rFonts w:ascii="Times New Roman" w:cs="Times New Roman" w:eastAsia="PMingLiU" w:hAnsi="Times New Roman"/>
          <w:b/>
          <w:bCs/>
          <w:color w:val="0000FF"/>
          <w:sz w:val="22"/>
          <w:szCs w:val="22"/>
        </w:rPr>
        <w:t xml:space="preserve">2.2. Data acquisition and panel construction</w:t>
      </w:r>
    </w:p>
    <w:p>
      <w:pPr>
        <w:spacing w:after="0" w:line="240"/>
        <w:ind w:firstLine="288"/>
        <w:jc w:val="both"/>
      </w:pPr>
      <w:r>
        <w:rPr>
          <w:rFonts w:ascii="Times New Roman" w:cs="Times New Roman" w:eastAsia="PMingLiU" w:hAnsi="Times New Roman"/>
          <w:b/>
          <w:bCs/>
          <w:color w:val="0000FF"/>
          <w:sz w:val="20"/>
          <w:szCs w:val="20"/>
        </w:rPr>
        <w:t xml:space="preserve">NSYSU logger. </w:t>
      </w:r>
      <w:r>
        <w:rPr>
          <w:rFonts w:ascii="Times New Roman" w:cs="Times New Roman" w:eastAsia="PMingLiU" w:hAnsi="Times New Roman"/>
          <w:color w:val="0000FF"/>
          <w:sz w:val="20"/>
          <w:szCs w:val="20"/>
        </w:rPr>
        <w:t xml:space="preserve">YouBike publishes a JSON of every station (bikes, free docks, status, update time) but no history. A GitHub Actions workflow fetches it every 10 minutes for the 309 stations within 5 km of NSYSU and commits one CSV row per station and slot. Because GitHub throttles cron jobs in quiet repositories (4 runs in our first day), one run now logs for 340 minutes and dispatches its successor before ending; an hourly cron only restarts the chain if it breaks, and a guard script ensures a single active run. Since 2 Oct the logger has delivered 144 snapshots per day with one 6-hour gap (12 Oct). Station status 2 (out of service) is stored so that an offline station is not mistaken for a stockout.</w:t>
      </w:r>
    </w:p>
    <w:p>
      <w:pPr>
        <w:spacing w:after="0" w:line="240"/>
        <w:ind w:firstLine="288"/>
        <w:jc w:val="both"/>
      </w:pPr>
      <w:r>
        <w:rPr>
          <w:rFonts w:ascii="Times New Roman" w:cs="Times New Roman" w:eastAsia="PMingLiU" w:hAnsi="Times New Roman"/>
          <w:b/>
          <w:bCs/>
          <w:color w:val="0000FF"/>
          <w:sz w:val="20"/>
          <w:szCs w:val="20"/>
        </w:rPr>
        <w:t xml:space="preserve">NTU trips. </w:t>
      </w:r>
      <w:r>
        <w:rPr>
          <w:rFonts w:ascii="Times New Roman" w:cs="Times New Roman" w:eastAsia="PMingLiU" w:hAnsi="Times New Roman"/>
          <w:color w:val="0000FF"/>
          <w:sz w:val="20"/>
          <w:szCs w:val="20"/>
        </w:rPr>
        <w:t xml:space="preserve">The Taipei trip records [1] give rent time, rent station, return time, return station and duration for every ride, with times truncated to the hour and stations named rather than numbered; 2024 files have six columns and 2025 files seven. We stream each monthly zip (6–7 M rows) in chunks, keep rides with either end among the 144 stations within 1.2 km of the NTU campus centroid (59 on campus, 85 in the surrounding ring), match names to station ids through the station table of [2], and aggregate rentals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and returns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per station and hour. Ten months (Sep 2024–Jun 2025, 10.2 M rides in the area) take 15 s per month.</w:t>
      </w:r>
    </w:p>
    <w:p>
      <w:pPr>
        <w:spacing w:after="0" w:line="240"/>
        <w:ind w:firstLine="288"/>
        <w:jc w:val="both"/>
      </w:pPr>
      <w:r>
        <w:rPr>
          <w:rFonts w:ascii="Times New Roman" w:cs="Times New Roman" w:eastAsia="PMingLiU" w:hAnsi="Times New Roman"/>
          <w:b/>
          <w:bCs/>
          <w:color w:val="0000FF"/>
          <w:sz w:val="20"/>
          <w:szCs w:val="20"/>
        </w:rPr>
        <w:t xml:space="preserve">NTU inventory panel. </w:t>
      </w:r>
      <w:r>
        <w:rPr>
          <w:rFonts w:ascii="Times New Roman" w:cs="Times New Roman" w:eastAsia="PMingLiU" w:hAnsi="Times New Roman"/>
          <w:color w:val="0000FF"/>
          <w:sz w:val="20"/>
          <w:szCs w:val="20"/>
        </w:rPr>
        <w:t xml:space="preserve">The snapshot repository [2] stores one row per station update (about 95 per station per day). Stations report only when something changes, so a quiet night produces no rows while a daytime silence of hours means the station is offline; we forward-fill onto a 10-minute grid and set the value to unknown when the last report is older than 120 min during 07:00–23:00 or 600 min otherwise. The result is 6.1 M station-slots with 7.9% unknown, concentrated in a collection outage on 1–16 Oct 2024.</w:t>
      </w:r>
    </w:p>
    <w:p>
      <w:pPr>
        <w:spacing w:after="0" w:line="240"/>
        <w:ind w:firstLine="288"/>
        <w:jc w:val="both"/>
      </w:pPr>
      <w:r>
        <w:rPr>
          <w:rFonts w:ascii="Times New Roman" w:cs="Times New Roman" w:eastAsia="PMingLiU" w:hAnsi="Times New Roman"/>
          <w:b/>
          <w:bCs/>
          <w:color w:val="0000FF"/>
          <w:sz w:val="20"/>
          <w:szCs w:val="20"/>
        </w:rPr>
        <w:t xml:space="preserve">Calendars. </w:t>
      </w:r>
      <w:r>
        <w:rPr>
          <w:rFonts w:ascii="Times New Roman" w:cs="Times New Roman" w:eastAsia="PMingLiU" w:hAnsi="Times New Roman"/>
          <w:color w:val="0000FF"/>
          <w:sz w:val="20"/>
          <w:szCs w:val="20"/>
        </w:rPr>
        <w:t xml:space="preserve">Bell times are the period ends of each campus (NTU: 09:00, 10:00, 11:10, 12:10, 13:10, 14:10, 15:10, 16:20, 17:20, 18:20, 19:15, 20:10; NSYSU: on the hour from 10:00 to 18:00, then 19:10, 20:10, 21:10). Taiwanese public holidays and the two NTU semesters (2 Sep 2024–10 Jan 2025, 17 Feb–13 Jun 2025) define the off-day and semester-week features.</w:t>
      </w:r>
    </w:p>
    <w:p>
      <w:pPr>
        <w:keepNext/>
        <w:spacing w:after="30" w:before="8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 </w:t>
      </w:r>
      <w:r>
        <w:rPr>
          <w:rFonts w:ascii="Times New Roman" w:cs="Times New Roman" w:eastAsia="PMingLiU" w:hAnsi="Times New Roman"/>
          <w:color w:val="0000FF"/>
          <w:sz w:val="20"/>
          <w:szCs w:val="20"/>
        </w:rPr>
        <w:t xml:space="preserve">Implementation: the stock at the start of each hour is the grid value at hh:00, the exposure is the share of the hour’s six slots with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&gt; 0, and 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hour) = Σ rentals / Σ exposure. Two validity checks are reported in Sec. 3.3: the R² of 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against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on hours without inferred moves, which measures how well trips alone explain inventory, and the R² for reproducing the next-hour stock when the inferred moves are added, which the proposal required to exceed 0.8 before the inferred policy may be used as a benchmark.</w:t>
      </w:r>
    </w:p>
    <w:p>
      <w:pPr>
        <w:keepNext/>
        <w:spacing w:after="30" w:before="8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day of week, week of semester, lagged flows, current stock, capacity and stock at the nearest stations. Baselines: persistence and seasonal mean; then gradient boosting with reliability checks. </w:t>
      </w:r>
      <w:r>
        <w:rPr>
          <w:rFonts w:ascii="Times New Roman" w:cs="Times New Roman" w:eastAsia="PMingLiU" w:hAnsi="Times New Roman"/>
          <w:color w:val="0000FF"/>
          <w:sz w:val="20"/>
          <w:szCs w:val="20"/>
        </w:rPr>
        <w:t xml:space="preserve">The implemented predictor is a direct classifier of the label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color w:val="0000FF"/>
          <w:sz w:val="20"/>
          <w:szCs w:val="20"/>
        </w:rPr>
        <w:t xml:space="preserve"> = 1 if the station is empty at any slot in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built for 06:00–23:00. The 22 inventory-only features are: time (hour of day, day of week, off-day flag, semester week, in-semester flag); bell (minutes to the next and since the last period end, and the same for the three major bells 12:10, 15:10, 17:20); state (bikes, free docks, capacity, fill ratio, change over the last 10, 30 and 60 min, minimum over the last hour, empty-now flag, minutes empty in the last hour); neighbours (bikes and empty count at the 3 nearest stations, mean fill of the 5 nearest). The full NTU variant adds six flow features (rentals and returns in the last two complete hours, rentals in the same hour last week, mean rentals for this station and hour-of-week on the training period) and the station id as a categorical feature. Models are LightGBM [13] binary classifiers (63 leaves, learning rate 0.05, 80% feature and row subsampling, L2 = 1) trained on a 40% random subsample of the training slots with early stopping on the last three training weeks. Baselines are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and the seasonal mean of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color w:val="0000FF"/>
          <w:sz w:val="20"/>
          <w:szCs w:val="20"/>
        </w:rPr>
        <w:t xml:space="preserve"> per station, day type and slot. Metrics: Brier score (mean squared error of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[15], AUC and ECE with ten equal-width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keepNext/>
        <w:spacing w:after="30" w:before="8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We compare, on six held-out days (10–15 Oct), (a) persistence, (b) a seasonal baseline fitted on the six training days (2–7 Oct), (c) the NTU model applied zero-shot, (d) the NTU model fine-tuned by continuing boosting on the NSYSU training days (learning rate 0.02, early stopping on 8–9 Oct), and (e) a model trained on NSYSU days only. Results are reported for all 309 stations, the 19 stations of the campus–KRT corridor and the 8 campus stations.</w:t>
      </w:r>
    </w:p>
    <w:p>
      <w:pPr>
        <w:keepNext/>
        <w:spacing w:after="30" w:before="8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A discrete-event replay simulator consumes real held-out trips: a rental is served only if stock &gt; 0, otherwise it counts as unmet, while the truck follows the policy under test. We compare none, reactive, predictive-point and predictive-probabilistic policies, plus the inferred operator moves. Metrics: unmet rentals, empty station-minutes, truck-km. </w:t>
      </w:r>
      <w:r>
        <w:rPr>
          <w:rFonts w:ascii="Times New Roman" w:cs="Times New Roman" w:eastAsia="PMingLiU" w:hAnsi="Times New Roman"/>
          <w:color w:val="0000FF"/>
          <w:sz w:val="20"/>
          <w:szCs w:val="20"/>
        </w:rPr>
        <w:t xml:space="preserve">Implemented simulator. Each day runs from 06:00 to 23:00 with the initial stock taken from the 06:00 snapshot. Recorded rentals at the 144 stations are placed uniformly at random within their recorded hour (seeded); a served rental generates the return of that ride after its recorded duration, an unserved one disappears; rides from outside the area arrive as recorded. A full station redirects a return to the nearest station with a free dock. 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travel at 15 km/h on 1.3× straight-line distance with 3 min per stop and 6 s per bike. Every 10 minutes each idle truck receives one move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chosen greedily to maximize the expected rentals saved per truck-minute: the benefit of a move is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vertAlign w:val="subscript"/>
        </w:rPr>
        <w:t xml:space="preserve">target</w:t>
      </w:r>
      <w:r>
        <w:rPr>
          <w:rFonts w:ascii="Times New Roman" w:cs="Times New Roman" w:eastAsia="PMingLiU" w:hAnsi="Times New Roman"/>
          <w:color w:val="0000FF"/>
          <w:sz w:val="20"/>
          <w:szCs w:val="20"/>
        </w:rPr>
        <w:t xml:space="preserve"> · min(</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λ</w:t>
      </w:r>
      <w:r>
        <w:rPr>
          <w:rFonts w:ascii="Times New Roman" w:cs="Times New Roman" w:eastAsia="PMingLiU" w:hAnsi="Times New Roman"/>
          <w:color w:val="0000FF"/>
          <w:sz w:val="20"/>
          <w:szCs w:val="20"/>
          <w:vertAlign w:val="subscript"/>
        </w:rPr>
        <w:t xml:space="preserve">target</w:t>
      </w:r>
      <w:r>
        <w:rPr>
          <w:rFonts w:ascii="Times New Roman" w:cs="Times New Roman" w:eastAsia="PMingLiU" w:hAnsi="Times New Roman"/>
          <w:color w:val="0000FF"/>
          <w:sz w:val="20"/>
          <w:szCs w:val="20"/>
        </w:rPr>
        <w:t xml:space="preserve">) and its cost is travel plus handling time. The three policies differ only in how targets and the weight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are defined: reactive serves stations that are already empty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 predictive-point serves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 predictive-probabilistic serves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weights them by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and never takes bikes from a station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&gt; 0.2,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Sources are stations whose stock exceeds their next-hour demand by at least 5 bikes. The operator reference injects the inferred hourly moves of Sec. 2.3 directly, i.e. it replays what actually happened to the inventory. The rolling-horizon route search with 2-opt and simulated annealing [16] is the next step; the greedy loop is its initial solution.</w:t>
      </w:r>
    </w:p>
    <w:p>
      <w:pPr>
        <w:keepNext/>
        <w:spacing w:after="30" w:before="8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in the browser or a small Python service, show P(empty within 30 min) per station on a map and the next-bell truck plan of the planner, as mocked in Fig. 11.</w:t>
      </w:r>
    </w:p>
    <w:p>
      <w:pPr>
        <w:keepNext/>
        <w:spacing w:after="30" w:before="100" w:line="240"/>
      </w:pPr>
      <w:r>
        <w:rPr>
          <w:rFonts w:ascii="Times New Roman" w:cs="Times New Roman" w:eastAsia="PMingLiU" w:hAnsi="Times New Roman"/>
          <w:b/>
          <w:bCs/>
          <w:color w:val="0000FF"/>
          <w:sz w:val="24"/>
          <w:szCs w:val="24"/>
        </w:rPr>
        <w:t xml:space="preserve">3. Experiments</w:t>
      </w:r>
    </w:p>
    <w:p>
      <w:pPr>
        <w:keepNext/>
        <w:spacing w:after="30" w:before="8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1 lists the data. NTU rows are split by time: training 1 Sep 2024–9 Mar 2025, validation 10–31 Mar 2025 (early stopping), test 1 Apr–22 Jun 2025 (1.22 M station-slots, three months never seen by the model). NSYSU uses 2–7 Oct for training, 8–9 Oct for validation and 10–15 Oct for testing. The replay simulator uses the 28 in-semester weekdays of the test period with ≥ 95% snapshot coverage (1 Apr–13 Jun 2025). Everything runs on a 2-vCPU, 7 GB container with Python 3.11, pandas 3.0, LightGBM 4.7 and scikit-learn 1.8; building the 4.3 M-row feature table takes 21 s, training all four NTU models 5 min, and one simulated day with five policies about 3 s.</w:t>
      </w:r>
    </w:p>
    <w:p>
      <w:pPr>
        <w:keepNext/>
        <w:spacing w:after="40" w:before="8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60" w:before="0" w:line="120"/>
      </w:pPr>
      <w:r>
        <w:rPr>
          <w:rFonts w:ascii="Times New Roman" w:cs="Times New Roman" w:eastAsia="PMingLiU" w:hAnsi="Times New Roman"/>
          <w:sz w:val="6"/>
          <w:szCs w:val="6"/>
        </w:rPr>
        <w:t xml:space="preserve"/>
      </w:r>
    </w:p>
    <w:p>
      <w:pPr>
        <w:keepNext/>
        <w:spacing w:after="30" w:before="8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 4 summarizes the eight teaching weekdays of 2–14 Oct 2026 (9–10 Oct are holidays). The campus and the KRT exits are the two ends of a tide: campus stations fill between 08:00 and 10:00 (193 of 231 docks occupied) while both KRT exits are empty in 36% of morning slots; after the 12:00 bell the campus loses 93 bikes (55%) in 20 minutes, recovers over lunch, and then drains through the 16:00 and 17:00 bells (−68 and −47 bikes within 40 minutes) to 7 bikes at 18:00, when 64% of campus stations are empty and the KRT exits hold 51 bikes. Fig. 5 aligns the drops on the bell: the 17:00 bell removes 88% of what is left. The 246 stockout episodes at campus stations amount to 3.8 per station and day, with a median length of 20 min, a mean of 30 min and a 90th percentile of 60 min; in total the eight campus stations spend 934 station-minutes empty per weekday. The morning has the mirror problem: the engineering and library stations are full (no free dock) in 44% and 25% of 08:00–11:00 slots. On weekends the campus holds 40–130 bikes all day and the pattern disappears, which confirms the timetable as the cause.</w:t>
      </w:r>
    </w:p>
    <w:p>
      <w:pPr>
        <w:keepNext/>
        <w:spacing w:after="10" w:before="40"/>
        <w:jc w:val="center"/>
      </w:pPr>
      <w:r>
        <w:drawing>
          <wp:inline distT="0" distB="0" distL="0" distR="0">
            <wp:extent cx="2943225"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235267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(a) Bikes available at the 8 campus stations and the 2 KRT Sizihwan exits (mean, band = IQR); dashed = weekend campus mean. (b) Probability that a station is empty, by station and time of day.</w:t>
      </w:r>
    </w:p>
    <w:p>
      <w:pPr>
        <w:keepNext/>
        <w:spacing w:after="10" w:before="40"/>
        <w:jc w:val="center"/>
      </w:pPr>
      <w:r>
        <w:drawing>
          <wp:inline distT="0" distB="0" distL="0" distR="0">
            <wp:extent cx="180975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20967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Campus stock relative to 10 minutes before the bell, NSYSU weekdays.</w:t>
      </w:r>
    </w:p>
    <w:p>
      <w:pPr>
        <w:keepNext/>
        <w:spacing w:after="30" w:before="8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The operator moves about 2,550 bikes into and 2,160 bikes out of the area per day, 10% of the 25,700 daily rentals. Fig. 6 shows a reactive pattern: pick-ups from campus peak at 08:00–09:00 after the morning inflow, drop-offs at campus peak at 16:00–17:00 and the ring is emptied at 17:00; only 19% of campus drop-offs happen in the hour before a major bell. Fig. 7 shows the censoring correction for campus stations on weekdays: observed rentals understate demand by 8% at 12:00, 17% at 17:00, 39% at 18:00 and 2.1× at 22:00, because campus stations are empty 46% of the time at 17:00–19:00.</w:t>
      </w:r>
    </w:p>
    <w:p>
      <w:pPr>
        <w:keepNext/>
        <w:spacing w:after="10" w:before="4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36207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keepNext/>
        <w:spacing w:after="10" w:before="40"/>
        <w:jc w:val="center"/>
      </w:pPr>
      <w:r>
        <w:drawing>
          <wp:inline distT="0" distB="0" distL="0" distR="0">
            <wp:extent cx="1809750"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20967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Observed and censoring-corrected rental rates, campus stations, weekdays (spring 2025).</w:t>
      </w:r>
    </w:p>
    <w:p>
      <w:pPr>
        <w:keepNext/>
        <w:spacing w:after="30" w:before="8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 2 and Fig. 8 give the test results. At the 30-minute horizon the full model reaches AUC 0.931 and Brier 0.080, against 0.818 / 0.126 for the seasonal baseline and 0.742 / 0.125 for persistence; the inventory-only model is close behind (0.921 / 0.084), so trip flows add little once the current stock and its trend are known. Calibration is good without post-processing: ECE 0.012 and a reliability curve on the diagonal up to p = 0.9 (Fig. 8a), while the seasonal baseline under-predicts at high probabilities. Performance is higher on campus stations (AUC 0.945) and lower in the 40 minutes after a major bell (0.905), where the surge is fastest. At 60 minutes AUC drops to 0.916 (full) and 0.898 (inventory-only). By gain, the current stock (49%), its one-hour minimum (20%), the station id (8%) and the fill ratio (5%) dominate; the bell features contribute almost nothing, and an ablation without them changes AUC by less than 0.002 on every subset, including the campus slots 0–30 min before a bell. Hour of day already encodes a fixed timetable; the explicit bell features will matter only if they help the planner look further ahead than the stock trend does. The hard cases are stations that are still well stocked 30 minutes before a bell: AUC 0.79 at h = 30, which is the target for the second half (longer horizons, demand-rate features from Sec. 2.3).</w:t>
      </w:r>
    </w:p>
    <w:p>
      <w:pPr>
        <w:keepNext/>
        <w:spacing w:after="40" w:before="8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NTU test period (Apr–Jun 2025), all 144 stations. GBM + flows also uses the station id. ECE = expected calibration error.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700"/>
        <w:gridCol w:w="700"/>
        <w:gridCol w:w="700"/>
        <w:gridCol w:w="600"/>
      </w:tblGrid>
      <w:tr>
        <w:trPr>
          <w:cantSplit/>
          <w:tblHeader/>
        </w:trPr>
        <w:tc>
          <w:tcPr>
            <w:tcW w:type="dxa" w:w="14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h</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Brier</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AUC</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ECE</w:t>
            </w:r>
          </w:p>
        </w:tc>
        <w:tc>
          <w:tcPr>
            <w:tcW w:type="dxa" w:w="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0.125</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0.742</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0.125</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0.126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0.818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0.084</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0.921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0.080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0.931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0.178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0.698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0.178</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0.149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0.816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0.017</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0.109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0.898</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0.013</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138</w:t>
            </w:r>
          </w:p>
        </w:tc>
      </w:tr>
      <w:tr>
        <w:trPr>
          <w:cantSplit/>
        </w:trPr>
        <w:tc>
          <w:tcPr>
            <w:tcW w:type="dxa" w:w="14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60</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0.101</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0.916</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0.012</w:t>
            </w:r>
          </w:p>
        </w:tc>
        <w:tc>
          <w:tcPr>
            <w:tcW w:type="dxa" w:w="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225</w:t>
            </w:r>
          </w:p>
        </w:tc>
      </w:tr>
    </w:tbl>
    <w:p>
      <w:pPr>
        <w:spacing w:after="60" w:before="0" w:line="120"/>
      </w:pPr>
      <w:r>
        <w:rPr>
          <w:rFonts w:ascii="Times New Roman" w:cs="Times New Roman" w:eastAsia="PMingLiU" w:hAnsi="Times New Roman"/>
          <w:sz w:val="6"/>
          <w:szCs w:val="6"/>
        </w:rPr>
        <w:t xml:space="preserve"/>
      </w:r>
    </w:p>
    <w:p>
      <w:pPr>
        <w:keepNext/>
        <w:spacing w:after="10" w:before="40"/>
        <w:jc w:val="center"/>
      </w:pPr>
      <w:r>
        <w:drawing>
          <wp:inline distT="0" distB="0" distL="0" distR="0">
            <wp:extent cx="2943225"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40017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keepNext/>
        <w:spacing w:after="30" w:before="8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Fig. 9 and Table 3 show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w:t>
      </w:r>
    </w:p>
    <w:p>
      <w:pPr>
        <w:keepNext/>
        <w:spacing w:after="40" w:before="8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NSYSU test days (10–15 Oct 2026), h = 30 min; AUC / 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0.738 / 0.061</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0.742 / 0.104</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0.651 / 0.096</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0.789 / 0.129</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0.934 / 0.049</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0.944 / 0.068</w:t>
            </w:r>
          </w:p>
        </w:tc>
      </w:tr>
      <w:tr>
        <w:trPr>
          <w:cantSplit/>
        </w:trPr>
        <w:tc>
          <w:tcPr>
            <w:tcW w:type="dxa" w:w="14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0.945 / 0.069</w:t>
            </w:r>
          </w:p>
        </w:tc>
      </w:tr>
      <w:tr>
        <w:trPr>
          <w:cantSplit/>
        </w:trPr>
        <w:tc>
          <w:tcPr>
            <w:tcW w:type="dxa" w:w="14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0.940 / 0.047</w:t>
            </w:r>
          </w:p>
        </w:tc>
        <w:tc>
          <w:tcPr>
            <w:tcW w:type="dxa" w:w="1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0.942 / 0.069</w:t>
            </w:r>
          </w:p>
        </w:tc>
      </w:tr>
    </w:tbl>
    <w:p>
      <w:pPr>
        <w:spacing w:after="60" w:before="0" w:line="120"/>
      </w:pPr>
      <w:r>
        <w:rPr>
          <w:rFonts w:ascii="Times New Roman" w:cs="Times New Roman" w:eastAsia="PMingLiU" w:hAnsi="Times New Roman"/>
          <w:sz w:val="6"/>
          <w:szCs w:val="6"/>
        </w:rPr>
        <w:t xml:space="preserve"/>
      </w:r>
    </w:p>
    <w:p>
      <w:pPr>
        <w:keepNext/>
        <w:spacing w:after="10" w:before="40"/>
        <w:jc w:val="center"/>
      </w:pPr>
      <w:r>
        <w:drawing>
          <wp:inline distT="0" distB="0" distL="0" distR="0">
            <wp:extent cx="22669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66950" cy="1266825"/>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AUC at NSYSU, h = 30 min, for the five models of Sec. 2.5.</w:t>
      </w:r>
    </w:p>
    <w:p>
      <w:pPr>
        <w:keepNext/>
        <w:spacing w:after="30" w:before="8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4 and Fig. 10 give the policies. One truck avoids 5–8% of unmet rentals with 55–67 km of driving; three trucks 16–17%; six trucks 25–27%. The probabilistic policy is best on every fleet size and the point-forecast policy worst, but the margins on unmet rentals are small (27% vs. 26% vs. 25% with six trucks);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The ranking shows that at this stage the forecast is not the bottleneck: the greedy loop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8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Replay of 28 NTU weekdays (Apr–Jun 2025), per-day means;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377"/>
        <w:gridCol w:w="500"/>
        <w:gridCol w:w="700"/>
        <w:gridCol w:w="800"/>
        <w:gridCol w:w="700"/>
        <w:gridCol w:w="600"/>
      </w:tblGrid>
      <w:tr>
        <w:trPr>
          <w:cantSplit/>
          <w:tblHeader/>
        </w:trPr>
        <w:tc>
          <w:tcPr>
            <w:tcW w:type="dxa" w:w="1377"/>
            <w:shd w:fill="EDEDED" w:color="auto" w:val="clear"/>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bCs/>
                <w:color w:val="0000FF"/>
                <w:sz w:val="15"/>
                <w:szCs w:val="15"/>
              </w:rPr>
              <w:t xml:space="preserve">Policy</w:t>
            </w:r>
          </w:p>
        </w:tc>
        <w:tc>
          <w:tcPr>
            <w:tcW w:type="dxa" w:w="5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trucks</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unmet</w:t>
            </w:r>
          </w:p>
        </w:tc>
        <w:tc>
          <w:tcPr>
            <w:tcW w:type="dxa" w:w="8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empty-min</w:t>
            </w:r>
          </w:p>
        </w:tc>
        <w:tc>
          <w:tcPr>
            <w:tcW w:type="dxa" w:w="7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moved</w:t>
            </w:r>
          </w:p>
        </w:tc>
        <w:tc>
          <w:tcPr>
            <w:tcW w:type="dxa" w:w="600"/>
            <w:shd w:fill="EDEDED" w:color="auto" w:val="clear"/>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bCs/>
                <w:color w:val="0000FF"/>
                <w:sz w:val="15"/>
                <w:szCs w:val="15"/>
              </w:rPr>
              <w:t xml:space="preserve">km</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none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3,389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17,793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reactive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3,139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16,300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842</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point forecast</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3,209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17,280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944</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probabilistic</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3,135</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16,527</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883</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reactive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2,820</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13,743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1,995</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point forecast</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2,863</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16,450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2,374</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probabilistic</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2,806</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13,860</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2,139</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reactive</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2,496</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10,503</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2,876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point forecast</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2,543</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15,269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3,566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377"/>
            <w:tcMar>
              <w:top w:type="dxa" w:w="12"/>
              <w:left w:type="dxa" w:w="40"/>
              <w:bottom w:type="dxa" w:w="12"/>
              <w:right w:type="dxa" w:w="40"/>
            </w:tcMar>
            <w:vAlign w:val="center"/>
          </w:tcPr>
          <w:p>
            <w:pPr>
              <w:keepNext/>
              <w:keepLines/>
              <w:spacing w:after="0" w:line="200"/>
              <w:jc w:val="left"/>
            </w:pPr>
            <w:r>
              <w:rPr>
                <w:rFonts w:ascii="Times New Roman" w:cs="Times New Roman" w:eastAsia="PMingLiU" w:hAnsi="Times New Roman"/>
                <w:b w:val="false"/>
                <w:bCs w:val="false"/>
                <w:color w:val="0000FF"/>
                <w:sz w:val="15"/>
                <w:szCs w:val="15"/>
              </w:rPr>
              <w:t xml:space="preserve">probabilistic</w:t>
            </w:r>
          </w:p>
        </w:tc>
        <w:tc>
          <w:tcPr>
            <w:tcW w:type="dxa" w:w="5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6</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2,489</w:t>
            </w:r>
          </w:p>
        </w:tc>
        <w:tc>
          <w:tcPr>
            <w:tcW w:type="dxa" w:w="8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10,529</w:t>
            </w:r>
          </w:p>
        </w:tc>
        <w:tc>
          <w:tcPr>
            <w:tcW w:type="dxa" w:w="7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3,166</w:t>
            </w:r>
          </w:p>
        </w:tc>
        <w:tc>
          <w:tcPr>
            <w:tcW w:type="dxa" w:w="600"/>
            <w:tcMar>
              <w:top w:type="dxa" w:w="12"/>
              <w:left w:type="dxa" w:w="40"/>
              <w:bottom w:type="dxa" w:w="12"/>
              <w:right w:type="dxa" w:w="40"/>
            </w:tcMar>
            <w:vAlign w:val="center"/>
          </w:tcPr>
          <w:p>
            <w:pPr>
              <w:keepNext/>
              <w:keepLines/>
              <w:spacing w:after="0" w:line="20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377"/>
            <w:tcMar>
              <w:top w:type="dxa" w:w="12"/>
              <w:left w:type="dxa" w:w="40"/>
              <w:bottom w:type="dxa" w:w="12"/>
              <w:right w:type="dxa" w:w="40"/>
            </w:tcMar>
            <w:vAlign w:val="center"/>
          </w:tcPr>
          <w:p>
            <w:pPr>
              <w:keepNext w:val="false"/>
              <w:keepLines/>
              <w:spacing w:after="0" w:line="200"/>
              <w:jc w:val="left"/>
            </w:pPr>
            <w:r>
              <w:rPr>
                <w:rFonts w:ascii="Times New Roman" w:cs="Times New Roman" w:eastAsia="PMingLiU" w:hAnsi="Times New Roman"/>
                <w:b w:val="false"/>
                <w:bCs w:val="false"/>
                <w:color w:val="0000FF"/>
                <w:sz w:val="15"/>
                <w:szCs w:val="15"/>
              </w:rPr>
              <w:t xml:space="preserve">operator replay</w:t>
            </w:r>
          </w:p>
        </w:tc>
        <w:tc>
          <w:tcPr>
            <w:tcW w:type="dxa" w:w="5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1,337</w:t>
            </w:r>
          </w:p>
        </w:tc>
        <w:tc>
          <w:tcPr>
            <w:tcW w:type="dxa" w:w="8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9,448</w:t>
            </w:r>
          </w:p>
        </w:tc>
        <w:tc>
          <w:tcPr>
            <w:tcW w:type="dxa" w:w="7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5,121</w:t>
            </w:r>
          </w:p>
        </w:tc>
        <w:tc>
          <w:tcPr>
            <w:tcW w:type="dxa" w:w="600"/>
            <w:tcMar>
              <w:top w:type="dxa" w:w="12"/>
              <w:left w:type="dxa" w:w="40"/>
              <w:bottom w:type="dxa" w:w="12"/>
              <w:right w:type="dxa" w:w="40"/>
            </w:tcMar>
            <w:vAlign w:val="center"/>
          </w:tcPr>
          <w:p>
            <w:pPr>
              <w:keepNext w:val="false"/>
              <w:keepLines/>
              <w:spacing w:after="0" w:line="200"/>
              <w:jc w:val="center"/>
            </w:pPr>
            <w:r>
              <w:rPr>
                <w:rFonts w:ascii="Times New Roman" w:cs="Times New Roman" w:eastAsia="PMingLiU" w:hAnsi="Times New Roman"/>
                <w:b w:val="false"/>
                <w:bCs w:val="false"/>
                <w:color w:val="0000FF"/>
                <w:sz w:val="15"/>
                <w:szCs w:val="15"/>
              </w:rPr>
              <w:t xml:space="preserve">–</w:t>
            </w:r>
          </w:p>
        </w:tc>
      </w:tr>
    </w:tbl>
    <w:p>
      <w:pPr>
        <w:spacing w:after="60" w:before="0" w:line="120"/>
      </w:pPr>
      <w:r>
        <w:rPr>
          <w:rFonts w:ascii="Times New Roman" w:cs="Times New Roman" w:eastAsia="PMingLiU" w:hAnsi="Times New Roman"/>
          <w:sz w:val="6"/>
          <w:szCs w:val="6"/>
        </w:rPr>
        <w:t xml:space="preserve"/>
      </w:r>
    </w:p>
    <w:p>
      <w:pPr>
        <w:keepNext/>
        <w:spacing w:after="10" w:before="40"/>
        <w:jc w:val="center"/>
      </w:pPr>
      <w:r>
        <w:drawing>
          <wp:inline distT="0" distB="0" distL="0" distR="0">
            <wp:extent cx="2943225"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314450"/>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Reduction of (a) unmet rentals and (b) empty station-minutes relative to no rebalancing, by policy and fleet size.</w:t>
      </w:r>
    </w:p>
    <w:p>
      <w:pPr>
        <w:keepNext/>
        <w:spacing w:after="30" w:before="80" w:line="240"/>
      </w:pPr>
      <w:r>
        <w:rPr>
          <w:rFonts w:ascii="Times New Roman" w:cs="Times New Roman" w:eastAsia="PMingLiU" w:hAnsi="Times New Roman"/>
          <w:b/>
          <w:bCs/>
          <w:color w:val="0000FF"/>
          <w:sz w:val="22"/>
          <w:szCs w:val="22"/>
        </w:rPr>
        <w:t xml:space="preserve">3.7. Progress, risks and next steps</w:t>
      </w:r>
    </w:p>
    <w:p>
      <w:pPr>
        <w:spacing w:after="0" w:line="240"/>
        <w:ind w:firstLine="288"/>
        <w:jc w:val="both"/>
      </w:pPr>
      <w:r>
        <w:rPr>
          <w:rFonts w:ascii="Times New Roman" w:cs="Times New Roman" w:eastAsia="PMingLiU" w:hAnsi="Times New Roman"/>
          <w:color w:val="0000FF"/>
          <w:sz w:val="20"/>
          <w:szCs w:val="20"/>
        </w:rPr>
        <w:t xml:space="preserve">Fig. 12 updates the schedule: data pipeline and demand reconstruction are complete, the predictor is trained and transferred ahead of plan, and the simulator exists two weeks early, with the planner still greedy. Of the proposal’s three fallbacks, none was needed: Kaohsiung history is being collected by our own logger, the probabilistic policy does beat the point forecast, and local search is on schedule. Remaining work: (i) the rolling-horizon planner with 2-opt / simulated annealing and multi-stop routes, evaluated in the same simulator; (ii) longer horizons and demand-rate features for the pre-bell cases where the predictor is weakest; (iii) imputing the censored demand of Sec. 3.3 into the replay so that unmet rentals include the riders who never found a bike; (iv) the live NSYSU demo (Fig. 11) and, after four more weeks of logging, a transfer study by week of local data.</w:t>
      </w:r>
    </w:p>
    <w:p>
      <w:pPr>
        <w:keepNext/>
        <w:spacing w:after="10" w:before="40"/>
        <w:jc w:val="center"/>
      </w:pPr>
      <w:r>
        <w:drawing>
          <wp:inline distT="0" distB="0" distL="0" distR="0">
            <wp:extent cx="1905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1571625"/>
                    </a:xfrm>
                    <a:prstGeom prst="rect">
                      <a:avLst/>
                    </a:prstGeom>
                  </pic:spPr>
                </pic:pic>
              </a:graphicData>
            </a:graphic>
          </wp:inline>
        </w:drawing>
      </w:r>
    </w:p>
    <w:p>
      <w:pPr>
        <w:spacing w:after="60" w:before="0" w:line="200"/>
        <w:jc w:val="both"/>
      </w:pPr>
      <w:r>
        <w:rPr>
          <w:rFonts w:ascii="Times New Roman" w:cs="Times New Roman" w:eastAsia="PMingLiU" w:hAnsi="Times New Roman"/>
          <w:b/>
          <w:bCs/>
          <w:sz w:val="17"/>
          <w:szCs w:val="17"/>
        </w:rPr>
        <w:t xml:space="preserve">Figure 11.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10" w:before="40"/>
        <w:jc w:val="center"/>
      </w:pPr>
      <w:r>
        <w:drawing>
          <wp:inline distT="0" distB="0" distL="0" distR="0">
            <wp:extent cx="221932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19325" cy="1238250"/>
                    </a:xfrm>
                    <a:prstGeom prst="rect">
                      <a:avLst/>
                    </a:prstGeom>
                  </pic:spPr>
                </pic:pic>
              </a:graphicData>
            </a:graphic>
          </wp:inline>
        </w:drawing>
      </w:r>
    </w:p>
    <w:p>
      <w:pPr>
        <w:spacing w:after="60" w:before="0" w:line="200"/>
        <w:jc w:val="both"/>
      </w:pPr>
      <w:r>
        <w:rPr>
          <w:rFonts w:ascii="Times New Roman" w:cs="Times New Roman" w:eastAsia="PMingLiU" w:hAnsi="Times New Roman"/>
          <w:b/>
          <w:bCs/>
          <w:color w:val="0000FF"/>
          <w:sz w:val="17"/>
          <w:szCs w:val="17"/>
        </w:rPr>
        <w:t xml:space="preserve">Figure 12. </w:t>
      </w:r>
      <w:r>
        <w:rPr>
          <w:rFonts w:ascii="Times New Roman" w:cs="Times New Roman" w:eastAsia="PMingLiU" w:hAnsi="Times New Roman"/>
          <w:color w:val="0000FF"/>
          <w:sz w:val="17"/>
          <w:szCs w:val="17"/>
        </w:rPr>
        <w:t xml:space="preserve">Schedule with completion at 29 Oct (dark = done; PL 林沛霆, JC 陳佳晨, SL 林詩穎).</w:t>
      </w:r>
    </w:p>
    <w:p>
      <w:pPr>
        <w:keepNext/>
        <w:spacing w:after="30" w:before="80" w:line="240"/>
      </w:pPr>
      <w:r>
        <w:rPr>
          <w:rFonts w:ascii="Times New Roman" w:cs="Times New Roman" w:eastAsia="PMingLiU" w:hAnsi="Times New Roman"/>
          <w:b/>
          <w:bCs/>
          <w:color w:val="0000FF"/>
          <w:sz w:val="22"/>
          <w:szCs w:val="22"/>
        </w:rPr>
        <w:t xml:space="preserve">3.8. Work division and reproducibility</w:t>
      </w:r>
    </w:p>
    <w:p>
      <w:pPr>
        <w:spacing w:after="0" w:line="240"/>
        <w:ind w:firstLine="288"/>
        <w:jc w:val="both"/>
      </w:pPr>
      <w:r>
        <w:rPr>
          <w:rFonts w:ascii="Times New Roman" w:cs="Times New Roman" w:eastAsia="PMingLiU" w:hAnsi="Times New Roman"/>
          <w:color w:val="0000FF"/>
          <w:sz w:val="20"/>
          <w:szCs w:val="20"/>
        </w:rPr>
        <w:t xml:space="preserve">林沛霆 (PL) built the logger, the NTU pipeline, the replay simulator and this report; 陳佳晨 (JC) owns demand reconstruction, operator inference and the calibration and transfer studies; 林詩穎 (SL) owns the predictor, the ablations and the demo. All code, the reconciliation tables, model files, metrics and figures are in the public repository [17] under analysis/; the README documents how to rebuild every table from the raw sources, and the logger keeps adding NSYSU data every 10 minutes.</w:t>
      </w:r>
    </w:p>
    <w:p>
      <w:pPr>
        <w:keepNext/>
        <w:spacing w:after="30" w:before="10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a3e351ba5b96987d6cb37f97d16e2c656ed8a2.png"/><Relationship Id="rId8" Type="http://schemas.openxmlformats.org/officeDocument/2006/relationships/image" Target="media/7eb9cc3e03ff497fbd2c2e1509dc0d5db0410062.png"/><Relationship Id="rId9" Type="http://schemas.openxmlformats.org/officeDocument/2006/relationships/image" Target="media/338b19cd61462d8e2d07e112c126ee074dc9ef3b.png"/><Relationship Id="rId10" Type="http://schemas.openxmlformats.org/officeDocument/2006/relationships/image" Target="media/c858ce8817ffaa7626ab6e344ff293d09fa0454b.png"/><Relationship Id="rId11" Type="http://schemas.openxmlformats.org/officeDocument/2006/relationships/image" Target="media/074858a97d8fd5a5ca0de9a708fd30e11a33bc97.png"/><Relationship Id="rId12" Type="http://schemas.openxmlformats.org/officeDocument/2006/relationships/image" Target="media/c10c920f25a2380d06c519cdd40bce4c21e2fa30.png"/><Relationship Id="rId13" Type="http://schemas.openxmlformats.org/officeDocument/2006/relationships/image" Target="media/21faec4eba200bab356ff665a54818af7a5a24fb.png"/><Relationship Id="rId14" Type="http://schemas.openxmlformats.org/officeDocument/2006/relationships/image" Target="media/a4106a4eba342f107104b96e1016b622dd1dca0e.png"/><Relationship Id="rId15" Type="http://schemas.openxmlformats.org/officeDocument/2006/relationships/image" Target="media/dc7ff35e6f9b621dbd84c832f3af8f6c6f6563bf.png"/><Relationship Id="rId16" Type="http://schemas.openxmlformats.org/officeDocument/2006/relationships/image" Target="media/cf4b6ba41c3f5e54a3555c9029dabfb623a2fd14.png"/><Relationship Id="rId17" Type="http://schemas.openxmlformats.org/officeDocument/2006/relationships/image" Target="media/97dd851e0c5c564c845fc5423feb3471599a789f.png"/><Relationship Id="rId18" Type="http://schemas.openxmlformats.org/officeDocument/2006/relationships/image" Target="media/d0f918bf5ef3d5632e5c0ea6864522027904ce2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2026-10-15T15:56:39.636Z</dcterms:created>
  <dcterms:modified xsi:type="dcterms:W3CDTF">2026-10-15T15:56:39.636Z</dcterms:modified>
</cp:coreProperties>
</file>

<file path=docProps/custom.xml><?xml version="1.0" encoding="utf-8"?>
<Properties xmlns="http://schemas.openxmlformats.org/officeDocument/2006/custom-properties" xmlns:vt="http://schemas.openxmlformats.org/officeDocument/2006/docPropsVTypes"/>
</file>