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270"/>
        <w:jc w:val="center"/>
      </w:pPr>
      <w:r>
        <w:rPr>
          <w:rFonts w:ascii="Times New Roman" w:cs="Times New Roman" w:eastAsia="PMingLiU" w:hAnsi="Times New Roman"/>
          <w:b/>
          <w:bCs/>
          <w:sz w:val="28"/>
          <w:szCs w:val="28"/>
        </w:rPr>
        <w:t xml:space="preserve">Beat the Bell: Class-Schedule-Aware Stockout Prediction and Pre-emptive YouBike Rebalancing for Campus Stations</w:t>
      </w:r>
    </w:p>
    <w:p>
      <w:pPr>
        <w:spacing w:after="60" w:line="240"/>
        <w:jc w:val="center"/>
      </w:pPr>
      <w:r>
        <w:rPr>
          <w:rFonts w:ascii="Times New Roman" w:cs="Times New Roman" w:eastAsia="PMingLiU" w:hAnsi="Times New Roman"/>
          <w:color w:val="0000FF"/>
          <w:sz w:val="20"/>
          <w:szCs w:val="20"/>
        </w:rPr>
        <w:t xml:space="preserve">Midterm Report (HW3) · Introduction to Artificial Intelligence (TAICA, Fall 2026) · Group 54 · </w:t>
      </w:r>
      <w:r>
        <w:rPr>
          <w:rFonts w:ascii="Times New Roman" w:cs="Times New Roman" w:eastAsia="PMingLiU" w:hAnsi="Times New Roman"/>
          <w:i/>
          <w:iCs/>
          <w:color w:val="0000FF"/>
          <w:sz w:val="20"/>
          <w:szCs w:val="20"/>
        </w:rPr>
        <w:t xml:space="preserve">blue text = new or changed since the proposal (HW1)</w:t>
      </w:r>
    </w:p>
    <w:p>
      <w:pPr>
        <w:spacing w:after="0" w:line="240"/>
        <w:jc w:val="center"/>
      </w:pPr>
      <w:r>
        <w:rPr>
          <w:rFonts w:ascii="Times New Roman" w:cs="Times New Roman" w:eastAsia="PMingLiU" w:hAnsi="Times New Roman"/>
          <w:b/>
          <w:bCs/>
          <w:sz w:val="21"/>
          <w:szCs w:val="21"/>
        </w:rPr>
        <w:t xml:space="preserve">Team members</w:t>
      </w:r>
    </w:p>
    <w:p>
      <w:pPr>
        <w:spacing w:after="80" w:line="240"/>
        <w:jc w:val="center"/>
      </w:pPr>
      <w:r>
        <w:rPr>
          <w:rFonts w:ascii="Times New Roman" w:cs="Times New Roman" w:eastAsia="PMingLiU" w:hAnsi="Times New Roman"/>
          <w:sz w:val="21"/>
          <w:szCs w:val="21"/>
        </w:rPr>
        <w:t xml:space="preserve">國立中山大學 B124020041 林沛霆 · 國立中山大學 B134020002 陳佳晨 · 國立中山大學 B134020008 林詩穎</w:t>
      </w:r>
    </w:p>
    <w:p>
      <w:pPr>
        <w:sectPr>
          <w:pgSz w:w="12240" w:h="15840" w:orient="portrait"/>
          <w:pgMar w:top="1440" w:right="902" w:bottom="1622" w:left="1440" w:header="431" w:footer="431" w:gutter="0"/>
          <w:pgNumType/>
          <w:cols w:num="1"/>
          <w:docGrid w:linePitch="360"/>
        </w:sectPr>
      </w:pPr>
    </w:p>
    <w:p>
      <w:pPr>
        <w:spacing w:after="40" w:before="0" w:line="240"/>
        <w:jc w:val="center"/>
      </w:pPr>
      <w:r>
        <w:rPr>
          <w:rFonts w:ascii="Times New Roman" w:cs="Times New Roman" w:eastAsia="PMingLiU" w:hAnsi="Times New Roman"/>
          <w:b/>
          <w:bCs/>
          <w:sz w:val="24"/>
          <w:szCs w:val="24"/>
        </w:rPr>
        <w:t xml:space="preserve">Abstract</w:t>
      </w:r>
    </w:p>
    <w:p>
      <w:pPr>
        <w:spacing w:after="80" w:line="240"/>
        <w:ind w:firstLine="202"/>
        <w:jc w:val="both"/>
      </w:pPr>
      <w:r>
        <w:rPr>
          <w:rFonts w:ascii="Times New Roman" w:cs="Times New Roman" w:eastAsia="PMingLiU" w:hAnsi="Times New Roman"/>
          <w:i/>
          <w:iCs/>
          <w:sz w:val="20"/>
          <w:szCs w:val="20"/>
        </w:rPr>
        <w:t xml:space="preserve">Docks near a university empty within minutes of a class ending. Because the timetable makes this surge predictable, we cast rebalancing as an AI decision problem: one truck moves bikes before the bell instead of after the stockout. We (i) reconstruct censored demand and the operator’s actual truck moves from public trip records and inventory snapshots, (ii) learn a schedule-aware, calibrated predictor of P(stockout within h min) per station, and (iii) plan truck routes by rolling-horizon search that minimizes expected unmet rentals plus travel cost. </w:t>
      </w:r>
      <w:r>
        <w:rPr>
          <w:rFonts w:ascii="Times New Roman" w:cs="Times New Roman" w:eastAsia="PMingLiU" w:hAnsi="Times New Roman"/>
          <w:i/>
          <w:iCs/>
          <w:color w:val="0000FF"/>
          <w:sz w:val="20"/>
          <w:szCs w:val="20"/>
        </w:rPr>
        <w:t xml:space="preserve">This midterm report delivers stages (i)–(iii) on real data. A logger has recorded all 309 YouBike stations within 5 km of NSYSU every 10 minutes since 1 October; on teaching days the eight campus stations fall from 193 bikes at 10:00 to 7 at 18:00, and 55% of the campus stock leaves within 20 minutes of the 12:00 bell. On 10 months of Taipei trip records and 295 days of 10-minute inventory for 144 stations around NTU, our reconciliation recovers the operator’s truck moves (R² = 0.98) and shows that observed rentals understate demand by up to 2× at campus stations in the evening. A gradient-boosting predictor reaches AUC 0.93, Brier 0.080 and ECE 0.012 at a 30-minute horizon on three held-out months, keeps AUC 0.90 at two hours, and transfers to NSYSU zero-shot (AUC 0.93 on 309 stations, 0.94 on campus). The Poisson roll-out the proposal described, implemented exactly as a birth–death chain, reaches AUC 0.895; the censoring correction improves it at every horizon, but it misses that an empty station rarely refills, which the classifier learns. A discrete-event replay simulator with greedy truck policies avoids 7%, 17% and 27% of unmet rentals with 1, 3 and 6 trucks. The route-search planner and the live NSYSU demo are the remaining work.</w:t>
      </w:r>
    </w:p>
    <w:tbl>
      <w:tblPr>
        <w:tblW w:type="dxa" w:w="4677"/>
        <w:tblBorders>
          <w:top w:val="single" w:color="7F9CCB" w:sz="4"/>
          <w:left w:val="single" w:color="7F9CCB" w:sz="4"/>
          <w:bottom w:val="single" w:color="7F9CCB" w:sz="4"/>
          <w:right w:val="single" w:color="7F9CCB" w:sz="4"/>
          <w:insideH w:val="single" w:color="7F9CCB" w:sz="4"/>
          <w:insideV w:val="single" w:color="7F9CCB" w:sz="4"/>
        </w:tblBorders>
      </w:tblPr>
      <w:tblGrid>
        <w:gridCol w:w="4677"/>
      </w:tblGrid>
      <w:tr>
        <w:trPr>
          <w:cantSplit/>
        </w:trPr>
        <w:tc>
          <w:tcPr>
            <w:tcW w:type="dxa" w:w="4677"/>
            <w:shd w:fill="F4F7FD" w:color="auto" w:val="clear"/>
            <w:tcMar>
              <w:top w:type="dxa" w:w="60"/>
              <w:left w:type="dxa" w:w="90"/>
              <w:bottom w:type="dxa" w:w="60"/>
              <w:right w:type="dxa" w:w="90"/>
            </w:tcMar>
          </w:tcPr>
          <w:p>
            <w:pPr>
              <w:keepLines/>
              <w:spacing w:after="0" w:line="205"/>
              <w:ind w:left="200" w:hanging="200"/>
              <w:jc w:val="left"/>
            </w:pPr>
            <w:r>
              <w:rPr>
                <w:rFonts w:ascii="Times New Roman" w:cs="Times New Roman" w:eastAsia="PMingLiU" w:hAnsi="Times New Roman"/>
                <w:b/>
                <w:bCs/>
                <w:color w:val="0000FF"/>
                <w:sz w:val="16"/>
                <w:szCs w:val="16"/>
              </w:rPr>
              <w:t xml:space="preserve">What has been done since the proposal (HW1)</w:t>
            </w:r>
          </w:p>
          <w:p>
            <w:pPr>
              <w:keepLines/>
              <w:spacing w:after="0" w:line="205"/>
              <w:ind w:left="200" w:hanging="200"/>
              <w:jc w:val="left"/>
            </w:pPr>
            <w:r>
              <w:rPr>
                <w:rFonts w:ascii="Times New Roman" w:cs="Times New Roman" w:eastAsia="PMingLiU" w:hAnsi="Times New Roman"/>
                <w:color w:val="0000FF"/>
                <w:sz w:val="15"/>
                <w:szCs w:val="15"/>
              </w:rPr>
              <w:t xml:space="preserve">1. NSYSU: a 10-minute logger for 309 stations since 1 Oct; 14 full days analysed (Secs. 2.2, 3.2).</w:t>
            </w:r>
          </w:p>
          <w:p>
            <w:pPr>
              <w:keepLines/>
              <w:spacing w:after="0" w:line="205"/>
              <w:ind w:left="200" w:hanging="200"/>
              <w:jc w:val="left"/>
            </w:pPr>
            <w:r>
              <w:rPr>
                <w:rFonts w:ascii="Times New Roman" w:cs="Times New Roman" w:eastAsia="PMingLiU" w:hAnsi="Times New Roman"/>
                <w:color w:val="0000FF"/>
                <w:sz w:val="15"/>
                <w:szCs w:val="15"/>
              </w:rPr>
              <w:t xml:space="preserve">2. NTU: 10.2 M trips and 295 days of inventory turned into three tables (Secs. 2.2, 2.3).</w:t>
            </w:r>
          </w:p>
          <w:p>
            <w:pPr>
              <w:keepLines/>
              <w:spacing w:after="0" w:line="205"/>
              <w:ind w:left="200" w:hanging="200"/>
              <w:jc w:val="left"/>
            </w:pPr>
            <w:r>
              <w:rPr>
                <w:rFonts w:ascii="Times New Roman" w:cs="Times New Roman" w:eastAsia="PMingLiU" w:hAnsi="Times New Roman"/>
                <w:color w:val="0000FF"/>
                <w:sz w:val="15"/>
                <w:szCs w:val="15"/>
              </w:rPr>
              <w:t xml:space="preserve">3. Operator-move inference with four independent checks (Secs. 2.3, 3.3).</w:t>
            </w:r>
          </w:p>
          <w:p>
            <w:pPr>
              <w:keepLines/>
              <w:spacing w:after="0" w:line="205"/>
              <w:ind w:left="200" w:hanging="200"/>
              <w:jc w:val="left"/>
            </w:pPr>
            <w:r>
              <w:rPr>
                <w:rFonts w:ascii="Times New Roman" w:cs="Times New Roman" w:eastAsia="PMingLiU" w:hAnsi="Times New Roman"/>
                <w:color w:val="0000FF"/>
                <w:sz w:val="15"/>
                <w:szCs w:val="15"/>
              </w:rPr>
              <w:t xml:space="preserve">4. Predictor at 30–120 min against the proposal’s Poisson roll-out and a logistic baseline, with bootstrap intervals (Secs. 2.4, 3.4).</w:t>
            </w:r>
          </w:p>
          <w:p>
            <w:pPr>
              <w:keepLines/>
              <w:spacing w:after="0" w:line="205"/>
              <w:ind w:left="200" w:hanging="200"/>
              <w:jc w:val="left"/>
            </w:pPr>
            <w:r>
              <w:rPr>
                <w:rFonts w:ascii="Times New Roman" w:cs="Times New Roman" w:eastAsia="PMingLiU" w:hAnsi="Times New Roman"/>
                <w:color w:val="0000FF"/>
                <w:sz w:val="15"/>
                <w:szCs w:val="15"/>
              </w:rPr>
              <w:t xml:space="preserve">5. NTU→NSYSU transfer study (Secs. 2.5, 3.5).</w:t>
            </w:r>
          </w:p>
          <w:p>
            <w:pPr>
              <w:keepLines/>
              <w:spacing w:after="0" w:line="205"/>
              <w:ind w:left="200" w:hanging="200"/>
              <w:jc w:val="left"/>
            </w:pPr>
            <w:r>
              <w:rPr>
                <w:rFonts w:ascii="Times New Roman" w:cs="Times New Roman" w:eastAsia="PMingLiU" w:hAnsi="Times New Roman"/>
                <w:color w:val="0000FF"/>
                <w:sz w:val="15"/>
                <w:szCs w:val="15"/>
              </w:rPr>
              <w:t xml:space="preserve">6. Replay simulator: four policies, 1/3/6 trucks, 28 days (Secs. 2.6, 3.6).</w:t>
            </w:r>
          </w:p>
          <w:p>
            <w:pPr>
              <w:keepLines/>
              <w:spacing w:after="0" w:line="205"/>
              <w:ind w:left="200" w:hanging="200"/>
              <w:jc w:val="left"/>
            </w:pPr>
            <w:r>
              <w:rPr>
                <w:rFonts w:ascii="Times New Roman" w:cs="Times New Roman" w:eastAsia="PMingLiU" w:hAnsi="Times New Roman"/>
                <w:color w:val="0000FF"/>
                <w:sz w:val="15"/>
                <w:szCs w:val="15"/>
              </w:rPr>
              <w:t xml:space="preserve">Not yet done: route search, censored-demand replay, timetable feature, live demo (Sec. 4).</w:t>
            </w:r>
          </w:p>
        </w:tc>
      </w:tr>
    </w:tbl>
    <w:p>
      <w:pPr>
        <w:spacing w:after="80" w:before="0" w:line="120"/>
      </w:pPr>
      <w:r>
        <w:rPr>
          <w:rFonts w:ascii="Times New Roman" w:cs="Times New Roman" w:eastAsia="PMingLiU" w:hAnsi="Times New Roman"/>
          <w:sz w:val="6"/>
          <w:szCs w:val="6"/>
        </w:rPr>
        <w:t xml:space="preserve"/>
      </w:r>
    </w:p>
    <w:p>
      <w:pPr>
        <w:keepNext/>
        <w:spacing w:after="40" w:before="120" w:line="240"/>
      </w:pPr>
      <w:r>
        <w:rPr>
          <w:rFonts w:ascii="Times New Roman" w:cs="Times New Roman" w:eastAsia="PMingLiU" w:hAnsi="Times New Roman"/>
          <w:b/>
          <w:bCs/>
          <w:sz w:val="24"/>
          <w:szCs w:val="24"/>
        </w:rPr>
        <w:t xml:space="preserve">1. Introduction</w:t>
      </w:r>
    </w:p>
    <w:p>
      <w:pPr>
        <w:keepNext/>
        <w:spacing w:after="30" w:before="90" w:line="240"/>
      </w:pPr>
      <w:r>
        <w:rPr>
          <w:rFonts w:ascii="Times New Roman" w:cs="Times New Roman" w:eastAsia="PMingLiU" w:hAnsi="Times New Roman"/>
          <w:b/>
          <w:bCs/>
          <w:sz w:val="22"/>
          <w:szCs w:val="22"/>
        </w:rPr>
        <w:t xml:space="preserve">1.1. Motivation</w:t>
      </w:r>
    </w:p>
    <w:p>
      <w:pPr>
        <w:spacing w:after="0" w:line="240"/>
        <w:ind w:firstLine="288"/>
        <w:jc w:val="both"/>
      </w:pPr>
      <w:r>
        <w:rPr>
          <w:rFonts w:ascii="Times New Roman" w:cs="Times New Roman" w:eastAsia="PMingLiU" w:hAnsi="Times New Roman"/>
          <w:sz w:val="20"/>
          <w:szCs w:val="20"/>
        </w:rPr>
        <w:t xml:space="preserve">Taipei’s YouBike 2.0 alone served 46 million trips in 2023 [3]. Around universities it fails in one specific way: bikes are plentiful during lectures and vanish when class ends. Fig. 1(a) quantifies this for the 59 NTU campus stations over 20 weekdays [2]: the campus count drops from 584 to 392 bikes within 20 minutes of the 12:10 bell and by 41% after the 17:20 bell; after 18:00 about 30% of stations are empty. Fig. 1(b) is our campus: twelve minutes after NSYSU’s 17:00 bell on 28 Sep 2026, 4 of the 25 stations within 1.5 km were empty, all on the KRT side, while the gymnasium held 48 bikes. The bikes exist; they stand at the wrong stations at a moment the timetable predicts. </w:t>
      </w:r>
      <w:r>
        <w:rPr>
          <w:rFonts w:ascii="Times New Roman" w:cs="Times New Roman" w:eastAsia="PMingLiU" w:hAnsi="Times New Roman"/>
          <w:color w:val="0000FF"/>
          <w:sz w:val="20"/>
          <w:szCs w:val="20"/>
        </w:rPr>
        <w:t xml:space="preserve">Two weeks of our own logging show that the snapshot was typical: on eight teaching weekdays the eight campus stations (231 docks) averaged 193 bikes at 10:00, 49 at 17:00 and 7 at 18:00, with 64% of them empty at 18:00, while the two KRT Sizihwan exits were empty in 36% of morning slots and held 51 bikes at 18:00 (Sec. 3.2). The problem is a tide between campus and the metro, in both directions, every teaching day.</w:t>
      </w:r>
    </w:p>
    <w:p>
      <w:pPr>
        <w:keepNext/>
        <w:spacing w:after="30" w:before="90" w:line="240"/>
      </w:pPr>
      <w:r>
        <w:rPr>
          <w:rFonts w:ascii="Times New Roman" w:cs="Times New Roman" w:eastAsia="PMingLiU" w:hAnsi="Times New Roman"/>
          <w:b/>
          <w:bCs/>
          <w:sz w:val="22"/>
          <w:szCs w:val="22"/>
        </w:rPr>
        <w:t xml:space="preserve">1.2. Problem definition</w:t>
      </w:r>
    </w:p>
    <w:p>
      <w:pPr>
        <w:spacing w:after="0" w:line="240"/>
        <w:ind w:firstLine="288"/>
        <w:jc w:val="both"/>
      </w:pPr>
      <w:r>
        <w:rPr>
          <w:rFonts w:ascii="Times New Roman" w:cs="Times New Roman" w:eastAsia="PMingLiU" w:hAnsi="Times New Roman"/>
          <w:sz w:val="20"/>
          <w:szCs w:val="20"/>
        </w:rPr>
        <w:t xml:space="preserve">Station </w:t>
      </w:r>
      <w:r>
        <w:rPr>
          <w:rFonts w:ascii="Times New Roman" w:cs="Times New Roman" w:eastAsia="PMingLiU" w:hAnsi="Times New Roman"/>
          <w:i/>
          <w:iCs/>
          <w:sz w:val="20"/>
          <w:szCs w:val="20"/>
        </w:rPr>
        <w:t xml:space="preserve">i</w:t>
      </w:r>
      <w:r>
        <w:rPr>
          <w:rFonts w:ascii="Times New Roman" w:cs="Times New Roman" w:eastAsia="PMingLiU" w:hAnsi="Times New Roman"/>
          <w:sz w:val="20"/>
          <w:szCs w:val="20"/>
        </w:rPr>
        <w:t xml:space="preserve"> has capacity </w:t>
      </w:r>
      <w:r>
        <w:rPr>
          <w:rFonts w:ascii="Times New Roman" w:cs="Times New Roman" w:eastAsia="PMingLiU" w:hAnsi="Times New Roman"/>
          <w:i/>
          <w:iCs/>
          <w:sz w:val="20"/>
          <w:szCs w:val="20"/>
        </w:rPr>
        <w:t xml:space="preserve">c</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and inventory </w:t>
      </w:r>
      <w:r>
        <w:rPr>
          <w:rFonts w:ascii="Times New Roman" w:cs="Times New Roman" w:eastAsia="PMingLiU" w:hAnsi="Times New Roman"/>
          <w:i/>
          <w:iCs/>
          <w:sz w:val="20"/>
          <w:szCs w:val="20"/>
        </w:rPr>
        <w:t xml:space="preserve">s</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t</w:t>
      </w:r>
      <w:r>
        <w:rPr>
          <w:rFonts w:ascii="Times New Roman" w:cs="Times New Roman" w:eastAsia="PMingLiU" w:hAnsi="Times New Roman"/>
          <w:sz w:val="20"/>
          <w:szCs w:val="20"/>
        </w:rPr>
        <w:t xml:space="preserve">); rentals </w:t>
      </w:r>
      <w:r>
        <w:rPr>
          <w:rFonts w:ascii="Times New Roman" w:cs="Times New Roman" w:eastAsia="PMingLiU" w:hAnsi="Times New Roman"/>
          <w:i/>
          <w:iCs/>
          <w:sz w:val="20"/>
          <w:szCs w:val="20"/>
        </w:rPr>
        <w:t xml:space="preserve">r</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t</w:t>
      </w:r>
      <w:r>
        <w:rPr>
          <w:rFonts w:ascii="Times New Roman" w:cs="Times New Roman" w:eastAsia="PMingLiU" w:hAnsi="Times New Roman"/>
          <w:sz w:val="20"/>
          <w:szCs w:val="20"/>
        </w:rPr>
        <w:t xml:space="preserve">) and returns </w:t>
      </w:r>
      <w:r>
        <w:rPr>
          <w:rFonts w:ascii="Times New Roman" w:cs="Times New Roman" w:eastAsia="PMingLiU" w:hAnsi="Times New Roman"/>
          <w:i/>
          <w:iCs/>
          <w:sz w:val="20"/>
          <w:szCs w:val="20"/>
        </w:rPr>
        <w:t xml:space="preserve">q</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t</w:t>
      </w:r>
      <w:r>
        <w:rPr>
          <w:rFonts w:ascii="Times New Roman" w:cs="Times New Roman" w:eastAsia="PMingLiU" w:hAnsi="Times New Roman"/>
          <w:sz w:val="20"/>
          <w:szCs w:val="20"/>
        </w:rPr>
        <w:t xml:space="preserve">) are counts whose rates depend on time of day, day of week and, our key assumption, the time to the next bell </w:t>
      </w:r>
      <w:r>
        <w:rPr>
          <w:rFonts w:ascii="Times New Roman" w:cs="Times New Roman" w:eastAsia="PMingLiU" w:hAnsi="Times New Roman"/>
          <w:i/>
          <w:iCs/>
          <w:sz w:val="20"/>
          <w:szCs w:val="20"/>
        </w:rPr>
        <w:t xml:space="preserve">b</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t</w:t>
      </w:r>
      <w:r>
        <w:rPr>
          <w:rFonts w:ascii="Times New Roman" w:cs="Times New Roman" w:eastAsia="PMingLiU" w:hAnsi="Times New Roman"/>
          <w:sz w:val="20"/>
          <w:szCs w:val="20"/>
        </w:rPr>
        <w:t xml:space="preserve">). Rentals are censored: when </w:t>
      </w:r>
      <w:r>
        <w:rPr>
          <w:rFonts w:ascii="Times New Roman" w:cs="Times New Roman" w:eastAsia="PMingLiU" w:hAnsi="Times New Roman"/>
          <w:i/>
          <w:iCs/>
          <w:sz w:val="20"/>
          <w:szCs w:val="20"/>
        </w:rPr>
        <w:t xml:space="preserve">s</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t</w:t>
      </w:r>
      <w:r>
        <w:rPr>
          <w:rFonts w:ascii="Times New Roman" w:cs="Times New Roman" w:eastAsia="PMingLiU" w:hAnsi="Times New Roman"/>
          <w:sz w:val="20"/>
          <w:szCs w:val="20"/>
        </w:rPr>
        <w:t xml:space="preserve">) = 0, lost rentals are unrecorded. One truck of capacity </w:t>
      </w:r>
      <w:r>
        <w:rPr>
          <w:rFonts w:ascii="Times New Roman" w:cs="Times New Roman" w:eastAsia="PMingLiU" w:hAnsi="Times New Roman"/>
          <w:i/>
          <w:iCs/>
          <w:sz w:val="20"/>
          <w:szCs w:val="20"/>
        </w:rPr>
        <w:t xml:space="preserve">Q</w:t>
      </w:r>
      <w:r>
        <w:rPr>
          <w:rFonts w:ascii="Times New Roman" w:cs="Times New Roman" w:eastAsia="PMingLiU" w:hAnsi="Times New Roman"/>
          <w:sz w:val="20"/>
          <w:szCs w:val="20"/>
        </w:rPr>
        <w:t xml:space="preserve"> visits stations with travel times </w:t>
      </w:r>
      <w:r>
        <w:rPr>
          <w:rFonts w:ascii="Times New Roman" w:cs="Times New Roman" w:eastAsia="PMingLiU" w:hAnsi="Times New Roman"/>
          <w:i/>
          <w:iCs/>
          <w:sz w:val="20"/>
          <w:szCs w:val="20"/>
        </w:rPr>
        <w:t xml:space="preserve">d</w:t>
      </w:r>
      <w:r>
        <w:rPr>
          <w:rFonts w:ascii="Times New Roman" w:cs="Times New Roman" w:eastAsia="PMingLiU" w:hAnsi="Times New Roman"/>
          <w:sz w:val="20"/>
          <w:szCs w:val="20"/>
          <w:vertAlign w:val="subscript"/>
        </w:rPr>
        <w:t xml:space="preserve">ij</w:t>
      </w:r>
      <w:r>
        <w:rPr>
          <w:rFonts w:ascii="Times New Roman" w:cs="Times New Roman" w:eastAsia="PMingLiU" w:hAnsi="Times New Roman"/>
          <w:sz w:val="20"/>
          <w:szCs w:val="20"/>
        </w:rPr>
        <w:t xml:space="preserve">. Before each bell we choose a route and load plan </w:t>
      </w:r>
      <w:r>
        <w:rPr>
          <w:rFonts w:ascii="Times New Roman" w:cs="Times New Roman" w:eastAsia="PMingLiU" w:hAnsi="Times New Roman"/>
          <w:i/>
          <w:iCs/>
          <w:sz w:val="20"/>
          <w:szCs w:val="20"/>
        </w:rPr>
        <w:t xml:space="preserve">π</w:t>
      </w:r>
      <w:r>
        <w:rPr>
          <w:rFonts w:ascii="Times New Roman" w:cs="Times New Roman" w:eastAsia="PMingLiU" w:hAnsi="Times New Roman"/>
          <w:sz w:val="20"/>
          <w:szCs w:val="20"/>
        </w:rPr>
        <w:t xml:space="preserve"> minimizing expected unmet rentals over a horizon </w:t>
      </w:r>
      <w:r>
        <w:rPr>
          <w:rFonts w:ascii="Times New Roman" w:cs="Times New Roman" w:eastAsia="PMingLiU" w:hAnsi="Times New Roman"/>
          <w:i/>
          <w:iCs/>
          <w:sz w:val="20"/>
          <w:szCs w:val="20"/>
        </w:rPr>
        <w:t xml:space="preserve">H</w:t>
      </w:r>
      <w:r>
        <w:rPr>
          <w:rFonts w:ascii="Times New Roman" w:cs="Times New Roman" w:eastAsia="PMingLiU" w:hAnsi="Times New Roman"/>
          <w:sz w:val="20"/>
          <w:szCs w:val="20"/>
        </w:rPr>
        <w:t xml:space="preserve"> plus </w:t>
      </w:r>
      <w:r>
        <w:rPr>
          <w:rFonts w:ascii="Times New Roman" w:cs="Times New Roman" w:eastAsia="PMingLiU" w:hAnsi="Times New Roman"/>
          <w:i/>
          <w:iCs/>
          <w:sz w:val="20"/>
          <w:szCs w:val="20"/>
        </w:rPr>
        <w:t xml:space="preserve">β</w:t>
      </w:r>
      <w:r>
        <w:rPr>
          <w:rFonts w:ascii="Times New Roman" w:cs="Times New Roman" w:eastAsia="PMingLiU" w:hAnsi="Times New Roman"/>
          <w:sz w:val="20"/>
          <w:szCs w:val="20"/>
        </w:rPr>
        <w:t xml:space="preserve">·travel time under capacity and deadline constraints. This is the course’s rational-agent view: acting under uncertainty to maximize expected utility, coupling probabilistic reasoning, learning and search.</w:t>
      </w:r>
    </w:p>
    <w:p>
      <w:pPr>
        <w:spacing w:after="0" w:line="240"/>
        <w:ind w:firstLine="288"/>
        <w:jc w:val="both"/>
      </w:pPr>
      <w:r>
        <w:rPr>
          <w:rFonts w:ascii="Times New Roman" w:cs="Times New Roman" w:eastAsia="PMingLiU" w:hAnsi="Times New Roman"/>
          <w:color w:val="0000FF"/>
          <w:sz w:val="20"/>
          <w:szCs w:val="20"/>
        </w:rPr>
        <w:t xml:space="preserve">Two sub-problems are now defined precisely. </w:t>
      </w:r>
      <w:r>
        <w:rPr>
          <w:rFonts w:ascii="Times New Roman" w:cs="Times New Roman" w:eastAsia="PMingLiU" w:hAnsi="Times New Roman"/>
          <w:b/>
          <w:bCs/>
          <w:color w:val="0000FF"/>
          <w:sz w:val="20"/>
          <w:szCs w:val="20"/>
        </w:rPr>
        <w:t xml:space="preserve">Stockout prediction: </w:t>
      </w:r>
      <w:r>
        <w:rPr>
          <w:rFonts w:ascii="Times New Roman" w:cs="Times New Roman" w:eastAsia="PMingLiU" w:hAnsi="Times New Roman"/>
          <w:color w:val="0000FF"/>
          <w:sz w:val="20"/>
          <w:szCs w:val="20"/>
        </w:rPr>
        <w:t xml:space="preserve">for every station </w:t>
      </w:r>
      <w:r>
        <w:rPr>
          <w:rFonts w:ascii="Times New Roman" w:cs="Times New Roman" w:eastAsia="PMingLiU" w:hAnsi="Times New Roman"/>
          <w:i/>
          <w:iCs/>
          <w:color w:val="0000FF"/>
          <w:sz w:val="20"/>
          <w:szCs w:val="20"/>
        </w:rPr>
        <w:t xml:space="preserve">i</w:t>
      </w:r>
      <w:r>
        <w:rPr>
          <w:rFonts w:ascii="Times New Roman" w:cs="Times New Roman" w:eastAsia="PMingLiU" w:hAnsi="Times New Roman"/>
          <w:color w:val="0000FF"/>
          <w:sz w:val="20"/>
          <w:szCs w:val="20"/>
        </w:rPr>
        <w:t xml:space="preserve"> and 10-minute slot </w:t>
      </w:r>
      <w:r>
        <w:rPr>
          <w:rFonts w:ascii="Times New Roman" w:cs="Times New Roman" w:eastAsia="PMingLiU" w:hAnsi="Times New Roman"/>
          <w:i/>
          <w:iCs/>
          <w:color w:val="0000FF"/>
          <w:sz w:val="20"/>
          <w:szCs w:val="20"/>
        </w:rPr>
        <w:t xml:space="preserve">t</w:t>
      </w:r>
      <w:r>
        <w:rPr>
          <w:rFonts w:ascii="Times New Roman" w:cs="Times New Roman" w:eastAsia="PMingLiU" w:hAnsi="Times New Roman"/>
          <w:color w:val="0000FF"/>
          <w:sz w:val="20"/>
          <w:szCs w:val="20"/>
        </w:rPr>
        <w:t xml:space="preserve">, output</w:t>
      </w:r>
    </w:p>
    <w:p>
      <w:pPr>
        <w:tabs>
          <w:tab w:val="right" w:pos="4677"/>
        </w:tabs>
        <w:spacing w:after="40" w:before="40" w:line="240"/>
        <w:ind w:left="600"/>
        <w:jc w:val="left"/>
      </w:pPr>
      <w:r>
        <w:rPr>
          <w:rFonts w:ascii="Times New Roman" w:cs="Times New Roman" w:eastAsia="PMingLiU" w:hAnsi="Times New Roman"/>
          <w:i/>
          <w:iCs/>
          <w:color w:val="0000FF"/>
          <w:sz w:val="20"/>
          <w:szCs w:val="20"/>
        </w:rPr>
        <w:t xml:space="preserve">p</w:t>
      </w:r>
      <w:r>
        <w:rPr>
          <w:rFonts w:ascii="Times New Roman" w:cs="Times New Roman" w:eastAsia="PMingLiU" w:hAnsi="Times New Roman"/>
          <w:color w:val="0000FF"/>
          <w:sz w:val="20"/>
          <w:szCs w:val="20"/>
          <w:vertAlign w:val="subscript"/>
        </w:rPr>
        <w:t xml:space="preserve">i</w:t>
      </w:r>
      <w:r>
        <w:rPr>
          <w:rFonts w:ascii="Times New Roman" w:cs="Times New Roman" w:eastAsia="PMingLiU" w:hAnsi="Times New Roman"/>
          <w:color w:val="0000FF"/>
          <w:sz w:val="20"/>
          <w:szCs w:val="20"/>
        </w:rPr>
        <w:t xml:space="preserve">(</w:t>
      </w:r>
      <w:r>
        <w:rPr>
          <w:rFonts w:ascii="Times New Roman" w:cs="Times New Roman" w:eastAsia="PMingLiU" w:hAnsi="Times New Roman"/>
          <w:i/>
          <w:iCs/>
          <w:color w:val="0000FF"/>
          <w:sz w:val="20"/>
          <w:szCs w:val="20"/>
        </w:rPr>
        <w:t xml:space="preserve">t</w:t>
      </w:r>
      <w:r>
        <w:rPr>
          <w:rFonts w:ascii="Times New Roman" w:cs="Times New Roman" w:eastAsia="PMingLiU" w:hAnsi="Times New Roman"/>
          <w:color w:val="0000FF"/>
          <w:sz w:val="20"/>
          <w:szCs w:val="20"/>
        </w:rPr>
        <w:t xml:space="preserve">, </w:t>
      </w:r>
      <w:r>
        <w:rPr>
          <w:rFonts w:ascii="Times New Roman" w:cs="Times New Roman" w:eastAsia="PMingLiU" w:hAnsi="Times New Roman"/>
          <w:i/>
          <w:iCs/>
          <w:color w:val="0000FF"/>
          <w:sz w:val="20"/>
          <w:szCs w:val="20"/>
        </w:rPr>
        <w:t xml:space="preserve">h</w:t>
      </w:r>
      <w:r>
        <w:rPr>
          <w:rFonts w:ascii="Times New Roman" w:cs="Times New Roman" w:eastAsia="PMingLiU" w:hAnsi="Times New Roman"/>
          <w:color w:val="0000FF"/>
          <w:sz w:val="20"/>
          <w:szCs w:val="20"/>
        </w:rPr>
        <w:t xml:space="preserve">) = P( min</w:t>
      </w:r>
      <w:r>
        <w:rPr>
          <w:rFonts w:ascii="Times New Roman" w:cs="Times New Roman" w:eastAsia="PMingLiU" w:hAnsi="Times New Roman"/>
          <w:color w:val="0000FF"/>
          <w:sz w:val="20"/>
          <w:szCs w:val="20"/>
          <w:vertAlign w:val="subscript"/>
        </w:rPr>
        <w:t xml:space="preserve">τ∈(t, t+h]</w:t>
      </w:r>
      <w:r>
        <w:rPr>
          <w:rFonts w:ascii="Times New Roman" w:cs="Times New Roman" w:eastAsia="PMingLiU" w:hAnsi="Times New Roman"/>
          <w:i/>
          <w:iCs/>
          <w:color w:val="0000FF"/>
          <w:sz w:val="20"/>
          <w:szCs w:val="20"/>
        </w:rPr>
        <w:t xml:space="preserve"> s</w:t>
      </w:r>
      <w:r>
        <w:rPr>
          <w:rFonts w:ascii="Times New Roman" w:cs="Times New Roman" w:eastAsia="PMingLiU" w:hAnsi="Times New Roman"/>
          <w:color w:val="0000FF"/>
          <w:sz w:val="20"/>
          <w:szCs w:val="20"/>
          <w:vertAlign w:val="subscript"/>
        </w:rPr>
        <w:t xml:space="preserve">i</w:t>
      </w:r>
      <w:r>
        <w:rPr>
          <w:rFonts w:ascii="Times New Roman" w:cs="Times New Roman" w:eastAsia="PMingLiU" w:hAnsi="Times New Roman"/>
          <w:color w:val="0000FF"/>
          <w:sz w:val="20"/>
          <w:szCs w:val="20"/>
        </w:rPr>
        <w:t xml:space="preserve">(τ) = 0 )</w:t>
      </w:r>
      <w:r>
        <w:rPr>
          <w:rFonts w:ascii="Times New Roman" w:cs="Times New Roman" w:eastAsia="PMingLiU" w:hAnsi="Times New Roman"/>
          <w:color w:val="0000FF"/>
          <w:sz w:val="20"/>
          <w:szCs w:val="20"/>
        </w:rPr>
        <w:tab/>
        <w:t xml:space="preserve">(1)</w:t>
      </w:r>
    </w:p>
    <w:p>
      <w:pPr>
        <w:spacing w:after="0" w:line="240"/>
        <w:ind w:firstLine="288"/>
        <w:jc w:val="both"/>
      </w:pPr>
      <w:r>
        <w:rPr>
          <w:rFonts w:ascii="Times New Roman" w:cs="Times New Roman" w:eastAsia="PMingLiU" w:hAnsi="Times New Roman"/>
          <w:color w:val="0000FF"/>
          <w:sz w:val="20"/>
          <w:szCs w:val="20"/>
        </w:rPr>
        <w:t xml:space="preserve">for horizons </w:t>
      </w:r>
      <w:r>
        <w:rPr>
          <w:rFonts w:ascii="Times New Roman" w:cs="Times New Roman" w:eastAsia="PMingLiU" w:hAnsi="Times New Roman"/>
          <w:i/>
          <w:iCs/>
          <w:color w:val="0000FF"/>
          <w:sz w:val="20"/>
          <w:szCs w:val="20"/>
        </w:rPr>
        <w:t xml:space="preserve">h</w:t>
      </w:r>
      <w:r>
        <w:rPr>
          <w:rFonts w:ascii="Times New Roman" w:cs="Times New Roman" w:eastAsia="PMingLiU" w:hAnsi="Times New Roman"/>
          <w:color w:val="0000FF"/>
          <w:sz w:val="20"/>
          <w:szCs w:val="20"/>
        </w:rPr>
        <w:t xml:space="preserve"> ∈ {30, 60, 90, 120} min. </w:t>
      </w:r>
      <w:r>
        <w:rPr>
          <w:rFonts w:ascii="Times New Roman" w:cs="Times New Roman" w:eastAsia="PMingLiU" w:hAnsi="Times New Roman"/>
          <w:b/>
          <w:bCs/>
          <w:color w:val="0000FF"/>
          <w:sz w:val="20"/>
          <w:szCs w:val="20"/>
        </w:rPr>
        <w:t xml:space="preserve">Rebalancing: </w:t>
      </w:r>
      <w:r>
        <w:rPr>
          <w:rFonts w:ascii="Times New Roman" w:cs="Times New Roman" w:eastAsia="PMingLiU" w:hAnsi="Times New Roman"/>
          <w:color w:val="0000FF"/>
          <w:sz w:val="20"/>
          <w:szCs w:val="20"/>
        </w:rPr>
        <w:t xml:space="preserve">with </w:t>
      </w:r>
      <w:r>
        <w:rPr>
          <w:rFonts w:ascii="Times New Roman" w:cs="Times New Roman" w:eastAsia="PMingLiU" w:hAnsi="Times New Roman"/>
          <w:i/>
          <w:iCs/>
          <w:color w:val="0000FF"/>
          <w:sz w:val="20"/>
          <w:szCs w:val="20"/>
        </w:rPr>
        <w:t xml:space="preserve">K</w:t>
      </w:r>
      <w:r>
        <w:rPr>
          <w:rFonts w:ascii="Times New Roman" w:cs="Times New Roman" w:eastAsia="PMingLiU" w:hAnsi="Times New Roman"/>
          <w:color w:val="0000FF"/>
          <w:sz w:val="20"/>
          <w:szCs w:val="20"/>
        </w:rPr>
        <w:t xml:space="preserve"> trucks, choose moves (source, target, </w:t>
      </w:r>
      <w:r>
        <w:rPr>
          <w:rFonts w:ascii="Times New Roman" w:cs="Times New Roman" w:eastAsia="PMingLiU" w:hAnsi="Times New Roman"/>
          <w:i/>
          <w:iCs/>
          <w:color w:val="0000FF"/>
          <w:sz w:val="20"/>
          <w:szCs w:val="20"/>
        </w:rPr>
        <w:t xml:space="preserve">k</w:t>
      </w:r>
      <w:r>
        <w:rPr>
          <w:rFonts w:ascii="Times New Roman" w:cs="Times New Roman" w:eastAsia="PMingLiU" w:hAnsi="Times New Roman"/>
          <w:color w:val="0000FF"/>
          <w:sz w:val="20"/>
          <w:szCs w:val="20"/>
        </w:rPr>
        <w:t xml:space="preserve"> bikes) that maximize the expected rentals saved per truck-minute, and evaluate every policy by replaying the real trips of held-out days (Sec. 2.6).</w:t>
      </w:r>
    </w:p>
    <w:p>
      <w:pPr>
        <w:keepNext/>
        <w:spacing w:after="40" w:before="120"/>
        <w:jc w:val="center"/>
      </w:pPr>
      <w:r>
        <w:drawing>
          <wp:inline distT="0" distB="0" distL="0" distR="0">
            <wp:extent cx="2943225"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943225" cy="2809875"/>
                    </a:xfrm>
                    <a:prstGeom prst="rect">
                      <a:avLst/>
                    </a:prstGeom>
                  </pic:spPr>
                </pic:pic>
              </a:graphicData>
            </a:graphic>
          </wp:inline>
        </w:drawing>
      </w:r>
    </w:p>
    <w:p>
      <w:pPr>
        <w:keepLines/>
        <w:spacing w:after="140" w:before="0" w:line="200"/>
        <w:jc w:val="both"/>
      </w:pPr>
      <w:r>
        <w:rPr>
          <w:rFonts w:ascii="Times New Roman" w:cs="Times New Roman" w:eastAsia="PMingLiU" w:hAnsi="Times New Roman"/>
          <w:b/>
          <w:bCs/>
          <w:sz w:val="17"/>
          <w:szCs w:val="17"/>
        </w:rPr>
        <w:t xml:space="preserve">Figure 1. </w:t>
      </w:r>
      <w:r>
        <w:rPr>
          <w:rFonts w:ascii="Times New Roman" w:cs="Times New Roman" w:eastAsia="PMingLiU" w:hAnsi="Times New Roman"/>
          <w:sz w:val="17"/>
          <w:szCs w:val="17"/>
        </w:rPr>
        <w:t xml:space="preserve">Class-end stockouts are real and predictable. (a) Mean bikes available at 59 NTU campus stations over 20 weekdays, Mar 2025 [2]; orange = period ends; strip = share of empty stations. (b) NSYSU at 17:12, 28 Sep 2026 [12].</w:t>
      </w:r>
    </w:p>
    <w:p>
      <w:pPr>
        <w:keepNext/>
        <w:spacing w:after="30" w:before="90" w:line="240"/>
      </w:pPr>
      <w:r>
        <w:rPr>
          <w:rFonts w:ascii="Times New Roman" w:cs="Times New Roman" w:eastAsia="PMingLiU" w:hAnsi="Times New Roman"/>
          <w:b/>
          <w:bCs/>
          <w:sz w:val="22"/>
          <w:szCs w:val="22"/>
        </w:rPr>
        <w:t xml:space="preserve">1.3. Existing solutions and literature</w:t>
      </w:r>
    </w:p>
    <w:p>
      <w:pPr>
        <w:spacing w:after="0" w:line="240"/>
        <w:ind w:firstLine="288"/>
        <w:jc w:val="both"/>
      </w:pPr>
      <w:r>
        <w:rPr>
          <w:rFonts w:ascii="Times New Roman" w:cs="Times New Roman" w:eastAsia="PMingLiU" w:hAnsi="Times New Roman"/>
          <w:sz w:val="20"/>
          <w:szCs w:val="20"/>
        </w:rPr>
        <w:t xml:space="preserve">Static repositioning is a routing-and-inventory problem [4]; dynamic repositioning combines forecasts with heuristics or mixed-integer programs [5, 6]; recent work uses spatio-temporal reinforcement learning [7]. Two ingredients matter on a campus yet are rarely combined: censored-demand estimation by simulation [8] or censored Gaussian processes [9], and inferring the operator’s unpublished truck moves by subtracting trip flows from inventory changes [10]; on Taipei data this reveals 18–20 thousand unexplained bike moves on 12 Mar 2025, peaking at 07–09 and 18–20. A 2025 NTU thesis optimized dispatch near NTU with survival-model demand on one month of trips [11]. No published work, to our knowledge, (a) uses the class timetable as an explicit signal, (b) outputs calibrated stockout probabilities rather than point forecasts, or (c) tests transfer between campuses; NSYSU has never been studied and Kaohsiung publishes no trip data, so transfer is the practical question. </w:t>
      </w:r>
      <w:r>
        <w:rPr>
          <w:rFonts w:ascii="Times New Roman" w:cs="Times New Roman" w:eastAsia="PMingLiU" w:hAnsi="Times New Roman"/>
          <w:color w:val="0000FF"/>
          <w:sz w:val="20"/>
          <w:szCs w:val="20"/>
        </w:rPr>
        <w:t xml:space="preserve">Station-level availability has been forecast hierarchically from city to cluster to station [25] and as over-demand prediction with dynamic station clusters [23]; the view of a station as a finite-capacity birth–death process, which the proposal’s Poisson roll-out computes, underlies service-level rebalancing [18, 19] and fleet sizing [20]; data-driven rebalancing at system scale was demonstrated for Citi Bike [24]. For the predictor we use gradient-boosted decision trees [13], which handle mixed count and categorical features natively, and we measure probability quality with the Brier score [15] and the expected calibration error [14] rather than accuracy, because the planner consumes probabilities.</w:t>
      </w:r>
    </w:p>
    <w:p>
      <w:pPr>
        <w:keepNext/>
        <w:spacing w:after="30" w:before="90" w:line="240"/>
      </w:pPr>
      <w:r>
        <w:rPr>
          <w:rFonts w:ascii="Times New Roman" w:cs="Times New Roman" w:eastAsia="PMingLiU" w:hAnsi="Times New Roman"/>
          <w:b/>
          <w:bCs/>
          <w:sz w:val="22"/>
          <w:szCs w:val="22"/>
        </w:rPr>
        <w:t xml:space="preserve">1.4. Proposed solution</w:t>
      </w:r>
      <w:r>
        <w:rPr>
          <w:rFonts w:ascii="Times New Roman" w:cs="Times New Roman" w:eastAsia="PMingLiU" w:hAnsi="Times New Roman"/>
          <w:b/>
          <w:bCs/>
          <w:color w:val="0000FF"/>
          <w:sz w:val="22"/>
          <w:szCs w:val="22"/>
        </w:rPr>
        <w:t xml:space="preserve"> and status</w:t>
      </w:r>
    </w:p>
    <w:p>
      <w:pPr>
        <w:spacing w:after="0" w:line="240"/>
        <w:ind w:firstLine="288"/>
        <w:jc w:val="both"/>
      </w:pPr>
      <w:r>
        <w:rPr>
          <w:rFonts w:ascii="Times New Roman" w:cs="Times New Roman" w:eastAsia="PMingLiU" w:hAnsi="Times New Roman"/>
          <w:sz w:val="20"/>
          <w:szCs w:val="20"/>
        </w:rPr>
        <w:t xml:space="preserve">Fig. 2 shows the pipeline. Open NTU data (hourly trips [1]; 10-minute inventory over 416 days [2]) serve to reconstruct demand and operator moves, to train a schedule-aware gradient-boosting predictor with reliability checks, and to drive a rolling-horizon route planner; policies are compared in a replay simulator fed with real trips. The predictor is then ported to NSYSU with a few weeks of locally logged inventory [12] for a live web demo that recommends a pre-bell truck plan (</w:t>
      </w:r>
      <w:r>
        <w:rPr>
          <w:rFonts w:ascii="Times New Roman" w:cs="Times New Roman" w:eastAsia="PMingLiU" w:hAnsi="Times New Roman"/>
          <w:color w:val="0000FF"/>
          <w:sz w:val="20"/>
          <w:szCs w:val="20"/>
        </w:rPr>
        <w:t xml:space="preserve">Fig. 10</w:t>
      </w:r>
      <w:r>
        <w:rPr>
          <w:rFonts w:ascii="Times New Roman" w:cs="Times New Roman" w:eastAsia="PMingLiU" w:hAnsi="Times New Roman"/>
          <w:sz w:val="20"/>
          <w:szCs w:val="20"/>
        </w:rPr>
        <w:t xml:space="preserve">). Contributions: (1) an uncertainty-aware pre-emptive rebalancing method reproducible from open data; (2) the first quantification of class-end stockouts at NTU and NSYSU; (3) an NTU→NSYSU transfer study. </w:t>
      </w:r>
      <w:r>
        <w:rPr>
          <w:rFonts w:ascii="Times New Roman" w:cs="Times New Roman" w:eastAsia="PMingLiU" w:hAnsi="Times New Roman"/>
          <w:color w:val="0000FF"/>
          <w:sz w:val="20"/>
          <w:szCs w:val="20"/>
        </w:rPr>
        <w:t xml:space="preserve">Status: (2) is complete for both campuses; (1) is implemented end to end with a greedy planner and evaluated in the simulator; (3) is complete for the predictor. Code, tables and results are public [17].</w:t>
      </w:r>
    </w:p>
    <w:p>
      <w:pPr>
        <w:keepNext/>
        <w:spacing w:after="40" w:before="120" w:line="240"/>
      </w:pPr>
      <w:r>
        <w:rPr>
          <w:rFonts w:ascii="Times New Roman" w:cs="Times New Roman" w:eastAsia="PMingLiU" w:hAnsi="Times New Roman"/>
          <w:b/>
          <w:bCs/>
          <w:sz w:val="24"/>
          <w:szCs w:val="24"/>
        </w:rPr>
        <w:t xml:space="preserve">2. Method</w:t>
      </w:r>
    </w:p>
    <w:p>
      <w:pPr>
        <w:keepNext/>
        <w:spacing w:after="30" w:before="90" w:line="240"/>
      </w:pPr>
      <w:r>
        <w:rPr>
          <w:rFonts w:ascii="Times New Roman" w:cs="Times New Roman" w:eastAsia="PMingLiU" w:hAnsi="Times New Roman"/>
          <w:b/>
          <w:bCs/>
          <w:color w:val="0000FF"/>
          <w:sz w:val="22"/>
          <w:szCs w:val="22"/>
        </w:rPr>
        <w:t xml:space="preserve">2.1. System overview</w:t>
      </w:r>
    </w:p>
    <w:p>
      <w:pPr>
        <w:spacing w:after="0" w:line="240"/>
        <w:ind w:firstLine="288"/>
        <w:jc w:val="both"/>
      </w:pPr>
      <w:r>
        <w:rPr>
          <w:rFonts w:ascii="Times New Roman" w:cs="Times New Roman" w:eastAsia="PMingLiU" w:hAnsi="Times New Roman"/>
          <w:color w:val="0000FF"/>
          <w:sz w:val="20"/>
          <w:szCs w:val="20"/>
        </w:rPr>
        <w:t xml:space="preserve">Fig. 3 shows the system as built. The NTU lane turns two open data sets into three tables (hourly flows, a 10-minute inventory panel and an hourly reconciliation table) that feed demand reconstruction, the predictor and the simulator. The NSYSU lane produces the same inventory panel from our logger, so the inventory-only predictor and the planner run unchanged on either campus. Each module is one Python script in the repository [17]; the subsection headings name the scripts and Sec. 3.1 gives the run times.</w:t>
      </w:r>
    </w:p>
    <w:p>
      <w:pPr>
        <w:keepNext/>
        <w:spacing w:after="40" w:before="120"/>
        <w:jc w:val="center"/>
      </w:pPr>
      <w:r>
        <w:drawing>
          <wp:inline distT="0" distB="0" distL="0" distR="0">
            <wp:extent cx="2943225"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43225" cy="1362075"/>
                    </a:xfrm>
                    <a:prstGeom prst="rect">
                      <a:avLst/>
                    </a:prstGeom>
                  </pic:spPr>
                </pic:pic>
              </a:graphicData>
            </a:graphic>
          </wp:inline>
        </w:drawing>
      </w:r>
    </w:p>
    <w:p>
      <w:pPr>
        <w:keepLines/>
        <w:spacing w:after="140" w:before="0" w:line="200"/>
        <w:jc w:val="both"/>
      </w:pPr>
      <w:r>
        <w:rPr>
          <w:rFonts w:ascii="Times New Roman" w:cs="Times New Roman" w:eastAsia="PMingLiU" w:hAnsi="Times New Roman"/>
          <w:b/>
          <w:bCs/>
          <w:sz w:val="17"/>
          <w:szCs w:val="17"/>
        </w:rPr>
        <w:t xml:space="preserve">Figure 2. </w:t>
      </w:r>
      <w:r>
        <w:rPr>
          <w:rFonts w:ascii="Times New Roman" w:cs="Times New Roman" w:eastAsia="PMingLiU" w:hAnsi="Times New Roman"/>
          <w:sz w:val="17"/>
          <w:szCs w:val="17"/>
        </w:rPr>
        <w:t xml:space="preserve">Proposed pipeline and the course unit each stage exercises.</w:t>
      </w:r>
    </w:p>
    <w:p>
      <w:pPr>
        <w:keepNext/>
        <w:spacing w:after="30" w:before="90" w:line="240"/>
      </w:pPr>
      <w:r>
        <w:rPr>
          <w:rFonts w:ascii="Times New Roman" w:cs="Times New Roman" w:eastAsia="PMingLiU" w:hAnsi="Times New Roman"/>
          <w:b/>
          <w:bCs/>
          <w:color w:val="0000FF"/>
          <w:sz w:val="22"/>
          <w:szCs w:val="22"/>
        </w:rPr>
        <w:t xml:space="preserve">2.2. Data acquisition and panel construction</w:t>
      </w:r>
    </w:p>
    <w:p>
      <w:pPr>
        <w:keepNext/>
        <w:spacing w:after="20" w:before="60" w:line="240"/>
      </w:pPr>
      <w:r>
        <w:rPr>
          <w:rFonts w:ascii="Times New Roman" w:cs="Times New Roman" w:eastAsia="PMingLiU" w:hAnsi="Times New Roman"/>
          <w:b/>
          <w:bCs/>
          <w:i/>
          <w:iCs/>
          <w:color w:val="0000FF"/>
          <w:sz w:val="20"/>
          <w:szCs w:val="20"/>
        </w:rPr>
        <w:t xml:space="preserve">2.2.1. NSYSU logger (fetch_youbike.py)</w:t>
      </w:r>
    </w:p>
    <w:p>
      <w:pPr>
        <w:spacing w:after="0" w:line="240"/>
        <w:ind w:firstLine="288"/>
        <w:jc w:val="both"/>
      </w:pPr>
      <w:r>
        <w:rPr>
          <w:rFonts w:ascii="Times New Roman" w:cs="Times New Roman" w:eastAsia="PMingLiU" w:hAnsi="Times New Roman"/>
          <w:color w:val="0000FF"/>
          <w:sz w:val="20"/>
          <w:szCs w:val="20"/>
        </w:rPr>
        <w:t xml:space="preserve">YouBike publishes a JSON of every station (bikes, free docks, status, update time) but no history, so our logger runs in GitHub Actions and commits one CSV row per station and 10-minute slot for the 309 stations within 5 km of NSYSU; the eight campus stations and eleven gateway stations between campus and the KRT are tagged for analysis. GitHub throttles scheduled jobs in quiet repositories, so one run logs for 340 minutes and dispatches its successor before it ends, with an hourly cron as fallback. 144 snapshots per day have been recorded since 2 Oct (one 6-hour gap on 12 Oct); out-of-service stations are stored as such and never counted as stockouts.</w:t>
      </w:r>
    </w:p>
    <w:p>
      <w:pPr>
        <w:keepNext/>
        <w:spacing w:after="20" w:before="60" w:line="240"/>
      </w:pPr>
      <w:r>
        <w:rPr>
          <w:rFonts w:ascii="Times New Roman" w:cs="Times New Roman" w:eastAsia="PMingLiU" w:hAnsi="Times New Roman"/>
          <w:b/>
          <w:bCs/>
          <w:i/>
          <w:iCs/>
          <w:color w:val="0000FF"/>
          <w:sz w:val="20"/>
          <w:szCs w:val="20"/>
        </w:rPr>
        <w:t xml:space="preserve">2.2.2. NTU trip flows (ntu_pipeline.py trips)</w:t>
      </w:r>
    </w:p>
    <w:p>
      <w:pPr>
        <w:spacing w:after="0" w:line="240"/>
        <w:ind w:firstLine="288"/>
        <w:jc w:val="both"/>
      </w:pPr>
      <w:r>
        <w:rPr>
          <w:rFonts w:ascii="Times New Roman" w:cs="Times New Roman" w:eastAsia="PMingLiU" w:hAnsi="Times New Roman"/>
          <w:color w:val="0000FF"/>
          <w:sz w:val="20"/>
          <w:szCs w:val="20"/>
        </w:rPr>
        <w:t xml:space="preserve">The Taipei trip records [1] give rent and return time (truncated to the hour), the two stations by name and the duration of every ride. Each monthly zip (6–7 M rows) is streamed in chunks, rides with either end among the study stations are kept, names are matched to station ids through the station table of [2], and rentals and returns are summed per station and hour: 10.2 M rides over ten months (Sep 2024–Jun 2025), 15 s per month.</w:t>
      </w:r>
    </w:p>
    <w:p>
      <w:pPr>
        <w:keepNext/>
        <w:spacing w:after="20" w:before="60" w:line="240"/>
      </w:pPr>
      <w:r>
        <w:rPr>
          <w:rFonts w:ascii="Times New Roman" w:cs="Times New Roman" w:eastAsia="PMingLiU" w:hAnsi="Times New Roman"/>
          <w:b/>
          <w:bCs/>
          <w:i/>
          <w:iCs/>
          <w:color w:val="0000FF"/>
          <w:sz w:val="20"/>
          <w:szCs w:val="20"/>
        </w:rPr>
        <w:t xml:space="preserve">2.2.3. NTU inventory panel (ntu_pipeline.py snapshots)</w:t>
      </w:r>
    </w:p>
    <w:p>
      <w:pPr>
        <w:spacing w:after="0" w:line="240"/>
        <w:ind w:firstLine="288"/>
        <w:jc w:val="both"/>
      </w:pPr>
      <w:r>
        <w:rPr>
          <w:rFonts w:ascii="Times New Roman" w:cs="Times New Roman" w:eastAsia="PMingLiU" w:hAnsi="Times New Roman"/>
          <w:color w:val="0000FF"/>
          <w:sz w:val="20"/>
          <w:szCs w:val="20"/>
        </w:rPr>
        <w:t xml:space="preserve">The snapshot repository [2] stores one row per station update. Stations report only when something changes, so values are forward-filled onto a 10-minute grid and marked unknown when the last report is older than 120 min during 07:00–23:00 or 600 min otherwise: 6.1 M station-slots, 7.9% unknown, mostly from a collection outage on 1–16 Oct 2024.</w:t>
      </w:r>
    </w:p>
    <w:p>
      <w:pPr>
        <w:keepNext/>
        <w:spacing w:after="40" w:before="120"/>
        <w:jc w:val="center"/>
      </w:pPr>
      <w:r>
        <w:drawing>
          <wp:inline distT="0" distB="0" distL="0" distR="0">
            <wp:extent cx="294322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43225" cy="2667000"/>
                    </a:xfrm>
                    <a:prstGeom prst="rect">
                      <a:avLst/>
                    </a:prstGeom>
                  </pic:spPr>
                </pic:pic>
              </a:graphicData>
            </a:graphic>
          </wp:inline>
        </w:drawing>
      </w:r>
    </w:p>
    <w:p>
      <w:pPr>
        <w:keepLines/>
        <w:spacing w:after="140" w:before="0" w:line="200"/>
        <w:jc w:val="both"/>
      </w:pPr>
      <w:r>
        <w:rPr>
          <w:rFonts w:ascii="Times New Roman" w:cs="Times New Roman" w:eastAsia="PMingLiU" w:hAnsi="Times New Roman"/>
          <w:b/>
          <w:bCs/>
          <w:color w:val="0000FF"/>
          <w:sz w:val="17"/>
          <w:szCs w:val="17"/>
        </w:rPr>
        <w:t xml:space="preserve">Figure 3. </w:t>
      </w:r>
      <w:r>
        <w:rPr>
          <w:rFonts w:ascii="Times New Roman" w:cs="Times New Roman" w:eastAsia="PMingLiU" w:hAnsi="Times New Roman"/>
          <w:color w:val="0000FF"/>
          <w:sz w:val="17"/>
          <w:szCs w:val="17"/>
        </w:rPr>
        <w:t xml:space="preserve">Architecture as implemented: sources (grey), tables (light blue), learning modules (blue), decision and evaluation modules (orange). Section numbers refer to this report.</w:t>
      </w:r>
    </w:p>
    <w:p>
      <w:pPr>
        <w:keepNext/>
        <w:spacing w:after="20" w:before="60" w:line="240"/>
      </w:pPr>
      <w:r>
        <w:rPr>
          <w:rFonts w:ascii="Times New Roman" w:cs="Times New Roman" w:eastAsia="PMingLiU" w:hAnsi="Times New Roman"/>
          <w:b/>
          <w:bCs/>
          <w:i/>
          <w:iCs/>
          <w:color w:val="0000FF"/>
          <w:sz w:val="20"/>
          <w:szCs w:val="20"/>
        </w:rPr>
        <w:t xml:space="preserve">2.2.4. Study area and calendars</w:t>
      </w:r>
    </w:p>
    <w:p>
      <w:pPr>
        <w:spacing w:after="0" w:line="240"/>
        <w:ind w:firstLine="288"/>
        <w:jc w:val="both"/>
      </w:pPr>
      <w:r>
        <w:rPr>
          <w:rFonts w:ascii="Times New Roman" w:cs="Times New Roman" w:eastAsia="PMingLiU" w:hAnsi="Times New Roman"/>
          <w:color w:val="0000FF"/>
          <w:sz w:val="20"/>
          <w:szCs w:val="20"/>
        </w:rPr>
        <w:t xml:space="preserve">The NTU study area is the 144 stations within 1.2 km of the campus centroid (59 on campus, 85 in the surrounding ring). Bell times are the period ends of each campus (NTU: 09:00, 10:00, 11:10, 12:10, 13:10, 14:10, 15:10, 16:20, 17:20, 18:20, 19:15, 20:10; NSYSU: on the hour from 10:00 to 18:00, then 19:10, 20:10, 21:10). Taiwanese public holidays and the semester calendars (NTU: 2 Sep 2024–10 Jan 2025 and 17 Feb–13 Jun 2025; NSYSU: from 7 Sep 2026) define the off-day and semester-week features.</w:t>
      </w:r>
    </w:p>
    <w:p>
      <w:pPr>
        <w:keepNext/>
        <w:spacing w:after="30" w:before="90" w:line="240"/>
      </w:pPr>
      <w:r>
        <w:rPr>
          <w:rFonts w:ascii="Times New Roman" w:cs="Times New Roman" w:eastAsia="PMingLiU" w:hAnsi="Times New Roman"/>
          <w:b/>
          <w:bCs/>
          <w:color w:val="0000FF"/>
          <w:sz w:val="22"/>
          <w:szCs w:val="22"/>
        </w:rPr>
        <w:t xml:space="preserve">2.3.</w:t>
      </w:r>
      <w:r>
        <w:rPr>
          <w:rFonts w:ascii="Times New Roman" w:cs="Times New Roman" w:eastAsia="PMingLiU" w:hAnsi="Times New Roman"/>
          <w:b/>
          <w:bCs/>
          <w:sz w:val="22"/>
          <w:szCs w:val="22"/>
        </w:rPr>
        <w:t xml:space="preserve"> Demand reconstruction</w:t>
      </w:r>
      <w:r>
        <w:rPr>
          <w:rFonts w:ascii="Times New Roman" w:cs="Times New Roman" w:eastAsia="PMingLiU" w:hAnsi="Times New Roman"/>
          <w:b/>
          <w:bCs/>
          <w:color w:val="0000FF"/>
          <w:sz w:val="22"/>
          <w:szCs w:val="22"/>
        </w:rPr>
        <w:t xml:space="preserve"> and operator inference</w:t>
      </w:r>
    </w:p>
    <w:p>
      <w:pPr>
        <w:spacing w:after="0" w:line="240"/>
        <w:ind w:firstLine="288"/>
        <w:jc w:val="both"/>
      </w:pPr>
      <w:r>
        <w:rPr>
          <w:rFonts w:ascii="Times New Roman" w:cs="Times New Roman" w:eastAsia="PMingLiU" w:hAnsi="Times New Roman"/>
          <w:sz w:val="20"/>
          <w:szCs w:val="20"/>
        </w:rPr>
        <w:t xml:space="preserve">Per station-hour, Δ</w:t>
      </w:r>
      <w:r>
        <w:rPr>
          <w:rFonts w:ascii="Times New Roman" w:cs="Times New Roman" w:eastAsia="PMingLiU" w:hAnsi="Times New Roman"/>
          <w:i/>
          <w:iCs/>
          <w:sz w:val="20"/>
          <w:szCs w:val="20"/>
        </w:rPr>
        <w:t xml:space="preserve">s</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 </w:t>
      </w:r>
      <w:r>
        <w:rPr>
          <w:rFonts w:ascii="Times New Roman" w:cs="Times New Roman" w:eastAsia="PMingLiU" w:hAnsi="Times New Roman"/>
          <w:i/>
          <w:iCs/>
          <w:sz w:val="20"/>
          <w:szCs w:val="20"/>
        </w:rPr>
        <w:t xml:space="preserve">q</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 </w:t>
      </w:r>
      <w:r>
        <w:rPr>
          <w:rFonts w:ascii="Times New Roman" w:cs="Times New Roman" w:eastAsia="PMingLiU" w:hAnsi="Times New Roman"/>
          <w:i/>
          <w:iCs/>
          <w:sz w:val="20"/>
          <w:szCs w:val="20"/>
        </w:rPr>
        <w:t xml:space="preserve">r</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 </w:t>
      </w:r>
      <w:r>
        <w:rPr>
          <w:rFonts w:ascii="Times New Roman" w:cs="Times New Roman" w:eastAsia="PMingLiU" w:hAnsi="Times New Roman"/>
          <w:i/>
          <w:iCs/>
          <w:sz w:val="20"/>
          <w:szCs w:val="20"/>
        </w:rPr>
        <w:t xml:space="preserve">m</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 ε, with </w:t>
      </w:r>
      <w:r>
        <w:rPr>
          <w:rFonts w:ascii="Times New Roman" w:cs="Times New Roman" w:eastAsia="PMingLiU" w:hAnsi="Times New Roman"/>
          <w:i/>
          <w:iCs/>
          <w:sz w:val="20"/>
          <w:szCs w:val="20"/>
        </w:rPr>
        <w:t xml:space="preserve">m</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the operator’s net truck move; residuals |Δ</w:t>
      </w:r>
      <w:r>
        <w:rPr>
          <w:rFonts w:ascii="Times New Roman" w:cs="Times New Roman" w:eastAsia="PMingLiU" w:hAnsi="Times New Roman"/>
          <w:i/>
          <w:iCs/>
          <w:sz w:val="20"/>
          <w:szCs w:val="20"/>
        </w:rPr>
        <w:t xml:space="preserve">s</w:t>
      </w:r>
      <w:r>
        <w:rPr>
          <w:rFonts w:ascii="Times New Roman" w:cs="Times New Roman" w:eastAsia="PMingLiU" w:hAnsi="Times New Roman"/>
          <w:sz w:val="20"/>
          <w:szCs w:val="20"/>
        </w:rPr>
        <w:t xml:space="preserve"> − (</w:t>
      </w:r>
      <w:r>
        <w:rPr>
          <w:rFonts w:ascii="Times New Roman" w:cs="Times New Roman" w:eastAsia="PMingLiU" w:hAnsi="Times New Roman"/>
          <w:i/>
          <w:iCs/>
          <w:sz w:val="20"/>
          <w:szCs w:val="20"/>
        </w:rPr>
        <w:t xml:space="preserve">q</w:t>
      </w:r>
      <w:r>
        <w:rPr>
          <w:rFonts w:ascii="Times New Roman" w:cs="Times New Roman" w:eastAsia="PMingLiU" w:hAnsi="Times New Roman"/>
          <w:sz w:val="20"/>
          <w:szCs w:val="20"/>
        </w:rPr>
        <w:t xml:space="preserve"> − </w:t>
      </w:r>
      <w:r>
        <w:rPr>
          <w:rFonts w:ascii="Times New Roman" w:cs="Times New Roman" w:eastAsia="PMingLiU" w:hAnsi="Times New Roman"/>
          <w:i/>
          <w:iCs/>
          <w:sz w:val="20"/>
          <w:szCs w:val="20"/>
        </w:rPr>
        <w:t xml:space="preserve">r</w:t>
      </w:r>
      <w:r>
        <w:rPr>
          <w:rFonts w:ascii="Times New Roman" w:cs="Times New Roman" w:eastAsia="PMingLiU" w:hAnsi="Times New Roman"/>
          <w:sz w:val="20"/>
          <w:szCs w:val="20"/>
        </w:rPr>
        <w:t xml:space="preserve">)| ≥ 5 over 3-hour windows are labelled as moves [10], giving an observed operator policy. For censoring, minutes with </w:t>
      </w:r>
      <w:r>
        <w:rPr>
          <w:rFonts w:ascii="Times New Roman" w:cs="Times New Roman" w:eastAsia="PMingLiU" w:hAnsi="Times New Roman"/>
          <w:i/>
          <w:iCs/>
          <w:sz w:val="20"/>
          <w:szCs w:val="20"/>
        </w:rPr>
        <w:t xml:space="preserve">s</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 0 are dropped from the exposure of a Poisson rate model, so λ</w:t>
      </w:r>
      <w:r>
        <w:rPr>
          <w:rFonts w:ascii="Times New Roman" w:cs="Times New Roman" w:eastAsia="PMingLiU" w:hAnsi="Times New Roman"/>
          <w:sz w:val="20"/>
          <w:szCs w:val="20"/>
          <w:vertAlign w:val="subscript"/>
        </w:rPr>
        <w:t xml:space="preserve">r</w:t>
      </w:r>
      <w:r>
        <w:rPr>
          <w:rFonts w:ascii="Times New Roman" w:cs="Times New Roman" w:eastAsia="PMingLiU" w:hAnsi="Times New Roman"/>
          <w:sz w:val="20"/>
          <w:szCs w:val="20"/>
        </w:rPr>
        <w:t xml:space="preserve"> reflects only time when a rental was possible [8, 9].</w:t>
      </w:r>
    </w:p>
    <w:p>
      <w:pPr>
        <w:spacing w:after="0" w:line="240"/>
        <w:ind w:firstLine="288"/>
        <w:jc w:val="both"/>
      </w:pPr>
      <w:r>
        <w:rPr>
          <w:rFonts w:ascii="Times New Roman" w:cs="Times New Roman" w:eastAsia="PMingLiU" w:hAnsi="Times New Roman"/>
          <w:color w:val="0000FF"/>
          <w:sz w:val="20"/>
          <w:szCs w:val="20"/>
        </w:rPr>
        <w:t xml:space="preserve">Both steps are now implemented as written. The inventory identity per station-hour is</w:t>
      </w:r>
    </w:p>
    <w:p>
      <w:pPr>
        <w:tabs>
          <w:tab w:val="right" w:pos="4677"/>
        </w:tabs>
        <w:spacing w:after="40" w:before="40" w:line="240"/>
        <w:ind w:left="600"/>
        <w:jc w:val="left"/>
      </w:pPr>
      <w:r>
        <w:rPr>
          <w:rFonts w:ascii="Times New Roman" w:cs="Times New Roman" w:eastAsia="PMingLiU" w:hAnsi="Times New Roman"/>
          <w:color w:val="0000FF"/>
          <w:sz w:val="20"/>
          <w:szCs w:val="20"/>
        </w:rPr>
        <w:t xml:space="preserve">Δ</w:t>
      </w:r>
      <w:r>
        <w:rPr>
          <w:rFonts w:ascii="Times New Roman" w:cs="Times New Roman" w:eastAsia="PMingLiU" w:hAnsi="Times New Roman"/>
          <w:i/>
          <w:iCs/>
          <w:color w:val="0000FF"/>
          <w:sz w:val="20"/>
          <w:szCs w:val="20"/>
        </w:rPr>
        <w:t xml:space="preserve">s</w:t>
      </w:r>
      <w:r>
        <w:rPr>
          <w:rFonts w:ascii="Times New Roman" w:cs="Times New Roman" w:eastAsia="PMingLiU" w:hAnsi="Times New Roman"/>
          <w:color w:val="0000FF"/>
          <w:sz w:val="20"/>
          <w:szCs w:val="20"/>
          <w:vertAlign w:val="subscript"/>
        </w:rPr>
        <w:t xml:space="preserve">i</w:t>
      </w:r>
      <w:r>
        <w:rPr>
          <w:rFonts w:ascii="Times New Roman" w:cs="Times New Roman" w:eastAsia="PMingLiU" w:hAnsi="Times New Roman"/>
          <w:color w:val="0000FF"/>
          <w:sz w:val="20"/>
          <w:szCs w:val="20"/>
        </w:rPr>
        <w:t xml:space="preserve">(</w:t>
      </w:r>
      <w:r>
        <w:rPr>
          <w:rFonts w:ascii="Times New Roman" w:cs="Times New Roman" w:eastAsia="PMingLiU" w:hAnsi="Times New Roman"/>
          <w:i/>
          <w:iCs/>
          <w:color w:val="0000FF"/>
          <w:sz w:val="20"/>
          <w:szCs w:val="20"/>
        </w:rPr>
        <w:t xml:space="preserve">h</w:t>
      </w:r>
      <w:r>
        <w:rPr>
          <w:rFonts w:ascii="Times New Roman" w:cs="Times New Roman" w:eastAsia="PMingLiU" w:hAnsi="Times New Roman"/>
          <w:color w:val="0000FF"/>
          <w:sz w:val="20"/>
          <w:szCs w:val="20"/>
        </w:rPr>
        <w:t xml:space="preserve">) = </w:t>
      </w:r>
      <w:r>
        <w:rPr>
          <w:rFonts w:ascii="Times New Roman" w:cs="Times New Roman" w:eastAsia="PMingLiU" w:hAnsi="Times New Roman"/>
          <w:i/>
          <w:iCs/>
          <w:color w:val="0000FF"/>
          <w:sz w:val="20"/>
          <w:szCs w:val="20"/>
        </w:rPr>
        <w:t xml:space="preserve">q</w:t>
      </w:r>
      <w:r>
        <w:rPr>
          <w:rFonts w:ascii="Times New Roman" w:cs="Times New Roman" w:eastAsia="PMingLiU" w:hAnsi="Times New Roman"/>
          <w:color w:val="0000FF"/>
          <w:sz w:val="20"/>
          <w:szCs w:val="20"/>
          <w:vertAlign w:val="subscript"/>
        </w:rPr>
        <w:t xml:space="preserve">i</w:t>
      </w:r>
      <w:r>
        <w:rPr>
          <w:rFonts w:ascii="Times New Roman" w:cs="Times New Roman" w:eastAsia="PMingLiU" w:hAnsi="Times New Roman"/>
          <w:color w:val="0000FF"/>
          <w:sz w:val="20"/>
          <w:szCs w:val="20"/>
        </w:rPr>
        <w:t xml:space="preserve">(</w:t>
      </w:r>
      <w:r>
        <w:rPr>
          <w:rFonts w:ascii="Times New Roman" w:cs="Times New Roman" w:eastAsia="PMingLiU" w:hAnsi="Times New Roman"/>
          <w:i/>
          <w:iCs/>
          <w:color w:val="0000FF"/>
          <w:sz w:val="20"/>
          <w:szCs w:val="20"/>
        </w:rPr>
        <w:t xml:space="preserve">h</w:t>
      </w:r>
      <w:r>
        <w:rPr>
          <w:rFonts w:ascii="Times New Roman" w:cs="Times New Roman" w:eastAsia="PMingLiU" w:hAnsi="Times New Roman"/>
          <w:color w:val="0000FF"/>
          <w:sz w:val="20"/>
          <w:szCs w:val="20"/>
        </w:rPr>
        <w:t xml:space="preserve">) − </w:t>
      </w:r>
      <w:r>
        <w:rPr>
          <w:rFonts w:ascii="Times New Roman" w:cs="Times New Roman" w:eastAsia="PMingLiU" w:hAnsi="Times New Roman"/>
          <w:i/>
          <w:iCs/>
          <w:color w:val="0000FF"/>
          <w:sz w:val="20"/>
          <w:szCs w:val="20"/>
        </w:rPr>
        <w:t xml:space="preserve">r</w:t>
      </w:r>
      <w:r>
        <w:rPr>
          <w:rFonts w:ascii="Times New Roman" w:cs="Times New Roman" w:eastAsia="PMingLiU" w:hAnsi="Times New Roman"/>
          <w:color w:val="0000FF"/>
          <w:sz w:val="20"/>
          <w:szCs w:val="20"/>
          <w:vertAlign w:val="subscript"/>
        </w:rPr>
        <w:t xml:space="preserve">i</w:t>
      </w:r>
      <w:r>
        <w:rPr>
          <w:rFonts w:ascii="Times New Roman" w:cs="Times New Roman" w:eastAsia="PMingLiU" w:hAnsi="Times New Roman"/>
          <w:color w:val="0000FF"/>
          <w:sz w:val="20"/>
          <w:szCs w:val="20"/>
        </w:rPr>
        <w:t xml:space="preserve">(</w:t>
      </w:r>
      <w:r>
        <w:rPr>
          <w:rFonts w:ascii="Times New Roman" w:cs="Times New Roman" w:eastAsia="PMingLiU" w:hAnsi="Times New Roman"/>
          <w:i/>
          <w:iCs/>
          <w:color w:val="0000FF"/>
          <w:sz w:val="20"/>
          <w:szCs w:val="20"/>
        </w:rPr>
        <w:t xml:space="preserve">h</w:t>
      </w:r>
      <w:r>
        <w:rPr>
          <w:rFonts w:ascii="Times New Roman" w:cs="Times New Roman" w:eastAsia="PMingLiU" w:hAnsi="Times New Roman"/>
          <w:color w:val="0000FF"/>
          <w:sz w:val="20"/>
          <w:szCs w:val="20"/>
        </w:rPr>
        <w:t xml:space="preserve">) + </w:t>
      </w:r>
      <w:r>
        <w:rPr>
          <w:rFonts w:ascii="Times New Roman" w:cs="Times New Roman" w:eastAsia="PMingLiU" w:hAnsi="Times New Roman"/>
          <w:i/>
          <w:iCs/>
          <w:color w:val="0000FF"/>
          <w:sz w:val="20"/>
          <w:szCs w:val="20"/>
        </w:rPr>
        <w:t xml:space="preserve">m</w:t>
      </w:r>
      <w:r>
        <w:rPr>
          <w:rFonts w:ascii="Times New Roman" w:cs="Times New Roman" w:eastAsia="PMingLiU" w:hAnsi="Times New Roman"/>
          <w:color w:val="0000FF"/>
          <w:sz w:val="20"/>
          <w:szCs w:val="20"/>
          <w:vertAlign w:val="subscript"/>
        </w:rPr>
        <w:t xml:space="preserve">i</w:t>
      </w:r>
      <w:r>
        <w:rPr>
          <w:rFonts w:ascii="Times New Roman" w:cs="Times New Roman" w:eastAsia="PMingLiU" w:hAnsi="Times New Roman"/>
          <w:color w:val="0000FF"/>
          <w:sz w:val="20"/>
          <w:szCs w:val="20"/>
        </w:rPr>
        <w:t xml:space="preserve">(</w:t>
      </w:r>
      <w:r>
        <w:rPr>
          <w:rFonts w:ascii="Times New Roman" w:cs="Times New Roman" w:eastAsia="PMingLiU" w:hAnsi="Times New Roman"/>
          <w:i/>
          <w:iCs/>
          <w:color w:val="0000FF"/>
          <w:sz w:val="20"/>
          <w:szCs w:val="20"/>
        </w:rPr>
        <w:t xml:space="preserve">h</w:t>
      </w:r>
      <w:r>
        <w:rPr>
          <w:rFonts w:ascii="Times New Roman" w:cs="Times New Roman" w:eastAsia="PMingLiU" w:hAnsi="Times New Roman"/>
          <w:color w:val="0000FF"/>
          <w:sz w:val="20"/>
          <w:szCs w:val="20"/>
        </w:rPr>
        <w:t xml:space="preserve">) + ε</w:t>
      </w:r>
      <w:r>
        <w:rPr>
          <w:rFonts w:ascii="Times New Roman" w:cs="Times New Roman" w:eastAsia="PMingLiU" w:hAnsi="Times New Roman"/>
          <w:color w:val="0000FF"/>
          <w:sz w:val="20"/>
          <w:szCs w:val="20"/>
        </w:rPr>
        <w:tab/>
        <w:t xml:space="preserve">(2)</w:t>
      </w:r>
    </w:p>
    <w:p>
      <w:pPr>
        <w:spacing w:after="0" w:line="240"/>
        <w:ind w:firstLine="288"/>
        <w:jc w:val="both"/>
      </w:pPr>
      <w:r>
        <w:rPr>
          <w:rFonts w:ascii="Times New Roman" w:cs="Times New Roman" w:eastAsia="PMingLiU" w:hAnsi="Times New Roman"/>
          <w:color w:val="0000FF"/>
          <w:sz w:val="20"/>
          <w:szCs w:val="20"/>
        </w:rPr>
        <w:t xml:space="preserve">and a 3-hour window whose summed residual Σ(Δ</w:t>
      </w:r>
      <w:r>
        <w:rPr>
          <w:rFonts w:ascii="Times New Roman" w:cs="Times New Roman" w:eastAsia="PMingLiU" w:hAnsi="Times New Roman"/>
          <w:i/>
          <w:iCs/>
          <w:color w:val="0000FF"/>
          <w:sz w:val="20"/>
          <w:szCs w:val="20"/>
        </w:rPr>
        <w:t xml:space="preserve">s</w:t>
      </w:r>
      <w:r>
        <w:rPr>
          <w:rFonts w:ascii="Times New Roman" w:cs="Times New Roman" w:eastAsia="PMingLiU" w:hAnsi="Times New Roman"/>
          <w:color w:val="0000FF"/>
          <w:sz w:val="20"/>
          <w:szCs w:val="20"/>
        </w:rPr>
        <w:t xml:space="preserve"> − (</w:t>
      </w:r>
      <w:r>
        <w:rPr>
          <w:rFonts w:ascii="Times New Roman" w:cs="Times New Roman" w:eastAsia="PMingLiU" w:hAnsi="Times New Roman"/>
          <w:i/>
          <w:iCs/>
          <w:color w:val="0000FF"/>
          <w:sz w:val="20"/>
          <w:szCs w:val="20"/>
        </w:rPr>
        <w:t xml:space="preserve">q</w:t>
      </w:r>
      <w:r>
        <w:rPr>
          <w:rFonts w:ascii="Times New Roman" w:cs="Times New Roman" w:eastAsia="PMingLiU" w:hAnsi="Times New Roman"/>
          <w:color w:val="0000FF"/>
          <w:sz w:val="20"/>
          <w:szCs w:val="20"/>
        </w:rPr>
        <w:t xml:space="preserve"> − </w:t>
      </w:r>
      <w:r>
        <w:rPr>
          <w:rFonts w:ascii="Times New Roman" w:cs="Times New Roman" w:eastAsia="PMingLiU" w:hAnsi="Times New Roman"/>
          <w:i/>
          <w:iCs/>
          <w:color w:val="0000FF"/>
          <w:sz w:val="20"/>
          <w:szCs w:val="20"/>
        </w:rPr>
        <w:t xml:space="preserve">r</w:t>
      </w:r>
      <w:r>
        <w:rPr>
          <w:rFonts w:ascii="Times New Roman" w:cs="Times New Roman" w:eastAsia="PMingLiU" w:hAnsi="Times New Roman"/>
          <w:color w:val="0000FF"/>
          <w:sz w:val="20"/>
          <w:szCs w:val="20"/>
        </w:rPr>
        <w:t xml:space="preserve">)) reaches 5 bikes in absolute value is labelled as a truck move. The censoring-corrected rental rate per station </w:t>
      </w:r>
      <w:r>
        <w:rPr>
          <w:rFonts w:ascii="Times New Roman" w:cs="Times New Roman" w:eastAsia="PMingLiU" w:hAnsi="Times New Roman"/>
          <w:i/>
          <w:iCs/>
          <w:color w:val="0000FF"/>
          <w:sz w:val="20"/>
          <w:szCs w:val="20"/>
        </w:rPr>
        <w:t xml:space="preserve">i</w:t>
      </w:r>
      <w:r>
        <w:rPr>
          <w:rFonts w:ascii="Times New Roman" w:cs="Times New Roman" w:eastAsia="PMingLiU" w:hAnsi="Times New Roman"/>
          <w:color w:val="0000FF"/>
          <w:sz w:val="20"/>
          <w:szCs w:val="20"/>
        </w:rPr>
        <w:t xml:space="preserve">, day type </w:t>
      </w:r>
      <w:r>
        <w:rPr>
          <w:rFonts w:ascii="Times New Roman" w:cs="Times New Roman" w:eastAsia="PMingLiU" w:hAnsi="Times New Roman"/>
          <w:i/>
          <w:iCs/>
          <w:color w:val="0000FF"/>
          <w:sz w:val="20"/>
          <w:szCs w:val="20"/>
        </w:rPr>
        <w:t xml:space="preserve">d</w:t>
      </w:r>
      <w:r>
        <w:rPr>
          <w:rFonts w:ascii="Times New Roman" w:cs="Times New Roman" w:eastAsia="PMingLiU" w:hAnsi="Times New Roman"/>
          <w:color w:val="0000FF"/>
          <w:sz w:val="20"/>
          <w:szCs w:val="20"/>
        </w:rPr>
        <w:t xml:space="preserve"> (teaching day or off-day) and hour-of-day </w:t>
      </w:r>
      <w:r>
        <w:rPr>
          <w:rFonts w:ascii="Times New Roman" w:cs="Times New Roman" w:eastAsia="PMingLiU" w:hAnsi="Times New Roman"/>
          <w:i/>
          <w:iCs/>
          <w:color w:val="0000FF"/>
          <w:sz w:val="20"/>
          <w:szCs w:val="20"/>
        </w:rPr>
        <w:t xml:space="preserve">τ</w:t>
      </w:r>
      <w:r>
        <w:rPr>
          <w:rFonts w:ascii="Times New Roman" w:cs="Times New Roman" w:eastAsia="PMingLiU" w:hAnsi="Times New Roman"/>
          <w:color w:val="0000FF"/>
          <w:sz w:val="20"/>
          <w:szCs w:val="20"/>
        </w:rPr>
        <w:t xml:space="preserve"> is</w:t>
      </w:r>
    </w:p>
    <w:p>
      <w:pPr>
        <w:tabs>
          <w:tab w:val="right" w:pos="4677"/>
        </w:tabs>
        <w:spacing w:after="40" w:before="40" w:line="240"/>
        <w:ind w:left="600"/>
        <w:jc w:val="left"/>
      </w:pPr>
      <w:r>
        <w:rPr>
          <w:rFonts w:ascii="Times New Roman" w:cs="Times New Roman" w:eastAsia="PMingLiU" w:hAnsi="Times New Roman"/>
          <w:color w:val="0000FF"/>
          <w:sz w:val="20"/>
          <w:szCs w:val="20"/>
        </w:rPr>
        <w:t xml:space="preserve">λ̂</w:t>
      </w:r>
      <w:r>
        <w:rPr>
          <w:rFonts w:ascii="Times New Roman" w:cs="Times New Roman" w:eastAsia="PMingLiU" w:hAnsi="Times New Roman"/>
          <w:color w:val="0000FF"/>
          <w:sz w:val="20"/>
          <w:szCs w:val="20"/>
          <w:vertAlign w:val="subscript"/>
        </w:rPr>
        <w:t xml:space="preserve">i</w:t>
      </w:r>
      <w:r>
        <w:rPr>
          <w:rFonts w:ascii="Times New Roman" w:cs="Times New Roman" w:eastAsia="PMingLiU" w:hAnsi="Times New Roman"/>
          <w:color w:val="0000FF"/>
          <w:sz w:val="20"/>
          <w:szCs w:val="20"/>
        </w:rPr>
        <w:t xml:space="preserve">(</w:t>
      </w:r>
      <w:r>
        <w:rPr>
          <w:rFonts w:ascii="Times New Roman" w:cs="Times New Roman" w:eastAsia="PMingLiU" w:hAnsi="Times New Roman"/>
          <w:i/>
          <w:iCs/>
          <w:color w:val="0000FF"/>
          <w:sz w:val="20"/>
          <w:szCs w:val="20"/>
        </w:rPr>
        <w:t xml:space="preserve">d</w:t>
      </w:r>
      <w:r>
        <w:rPr>
          <w:rFonts w:ascii="Times New Roman" w:cs="Times New Roman" w:eastAsia="PMingLiU" w:hAnsi="Times New Roman"/>
          <w:color w:val="0000FF"/>
          <w:sz w:val="20"/>
          <w:szCs w:val="20"/>
        </w:rPr>
        <w:t xml:space="preserve">, </w:t>
      </w:r>
      <w:r>
        <w:rPr>
          <w:rFonts w:ascii="Times New Roman" w:cs="Times New Roman" w:eastAsia="PMingLiU" w:hAnsi="Times New Roman"/>
          <w:i/>
          <w:iCs/>
          <w:color w:val="0000FF"/>
          <w:sz w:val="20"/>
          <w:szCs w:val="20"/>
        </w:rPr>
        <w:t xml:space="preserve">τ</w:t>
      </w:r>
      <w:r>
        <w:rPr>
          <w:rFonts w:ascii="Times New Roman" w:cs="Times New Roman" w:eastAsia="PMingLiU" w:hAnsi="Times New Roman"/>
          <w:color w:val="0000FF"/>
          <w:sz w:val="20"/>
          <w:szCs w:val="20"/>
        </w:rPr>
        <w:t xml:space="preserve">) = Σ</w:t>
      </w:r>
      <w:r>
        <w:rPr>
          <w:rFonts w:ascii="Times New Roman" w:cs="Times New Roman" w:eastAsia="PMingLiU" w:hAnsi="Times New Roman"/>
          <w:color w:val="0000FF"/>
          <w:sz w:val="20"/>
          <w:szCs w:val="20"/>
          <w:vertAlign w:val="subscript"/>
        </w:rPr>
        <w:t xml:space="preserve">h</w:t>
      </w:r>
      <w:r>
        <w:rPr>
          <w:rFonts w:ascii="Times New Roman" w:cs="Times New Roman" w:eastAsia="PMingLiU" w:hAnsi="Times New Roman"/>
          <w:i/>
          <w:iCs/>
          <w:color w:val="0000FF"/>
          <w:sz w:val="20"/>
          <w:szCs w:val="20"/>
        </w:rPr>
        <w:t xml:space="preserve"> r</w:t>
      </w:r>
      <w:r>
        <w:rPr>
          <w:rFonts w:ascii="Times New Roman" w:cs="Times New Roman" w:eastAsia="PMingLiU" w:hAnsi="Times New Roman"/>
          <w:color w:val="0000FF"/>
          <w:sz w:val="20"/>
          <w:szCs w:val="20"/>
          <w:vertAlign w:val="subscript"/>
        </w:rPr>
        <w:t xml:space="preserve">i</w:t>
      </w:r>
      <w:r>
        <w:rPr>
          <w:rFonts w:ascii="Times New Roman" w:cs="Times New Roman" w:eastAsia="PMingLiU" w:hAnsi="Times New Roman"/>
          <w:color w:val="0000FF"/>
          <w:sz w:val="20"/>
          <w:szCs w:val="20"/>
        </w:rPr>
        <w:t xml:space="preserve">(</w:t>
      </w:r>
      <w:r>
        <w:rPr>
          <w:rFonts w:ascii="Times New Roman" w:cs="Times New Roman" w:eastAsia="PMingLiU" w:hAnsi="Times New Roman"/>
          <w:i/>
          <w:iCs/>
          <w:color w:val="0000FF"/>
          <w:sz w:val="20"/>
          <w:szCs w:val="20"/>
        </w:rPr>
        <w:t xml:space="preserve">h</w:t>
      </w:r>
      <w:r>
        <w:rPr>
          <w:rFonts w:ascii="Times New Roman" w:cs="Times New Roman" w:eastAsia="PMingLiU" w:hAnsi="Times New Roman"/>
          <w:color w:val="0000FF"/>
          <w:sz w:val="20"/>
          <w:szCs w:val="20"/>
        </w:rPr>
        <w:t xml:space="preserve">) / Σ</w:t>
      </w:r>
      <w:r>
        <w:rPr>
          <w:rFonts w:ascii="Times New Roman" w:cs="Times New Roman" w:eastAsia="PMingLiU" w:hAnsi="Times New Roman"/>
          <w:color w:val="0000FF"/>
          <w:sz w:val="20"/>
          <w:szCs w:val="20"/>
          <w:vertAlign w:val="subscript"/>
        </w:rPr>
        <w:t xml:space="preserve">h</w:t>
      </w:r>
      <w:r>
        <w:rPr>
          <w:rFonts w:ascii="Times New Roman" w:cs="Times New Roman" w:eastAsia="PMingLiU" w:hAnsi="Times New Roman"/>
          <w:i/>
          <w:iCs/>
          <w:color w:val="0000FF"/>
          <w:sz w:val="20"/>
          <w:szCs w:val="20"/>
        </w:rPr>
        <w:t xml:space="preserve"> e</w:t>
      </w:r>
      <w:r>
        <w:rPr>
          <w:rFonts w:ascii="Times New Roman" w:cs="Times New Roman" w:eastAsia="PMingLiU" w:hAnsi="Times New Roman"/>
          <w:color w:val="0000FF"/>
          <w:sz w:val="20"/>
          <w:szCs w:val="20"/>
          <w:vertAlign w:val="subscript"/>
        </w:rPr>
        <w:t xml:space="preserve">i</w:t>
      </w:r>
      <w:r>
        <w:rPr>
          <w:rFonts w:ascii="Times New Roman" w:cs="Times New Roman" w:eastAsia="PMingLiU" w:hAnsi="Times New Roman"/>
          <w:color w:val="0000FF"/>
          <w:sz w:val="20"/>
          <w:szCs w:val="20"/>
        </w:rPr>
        <w:t xml:space="preserve">(</w:t>
      </w:r>
      <w:r>
        <w:rPr>
          <w:rFonts w:ascii="Times New Roman" w:cs="Times New Roman" w:eastAsia="PMingLiU" w:hAnsi="Times New Roman"/>
          <w:i/>
          <w:iCs/>
          <w:color w:val="0000FF"/>
          <w:sz w:val="20"/>
          <w:szCs w:val="20"/>
        </w:rPr>
        <w:t xml:space="preserve">h</w:t>
      </w:r>
      <w:r>
        <w:rPr>
          <w:rFonts w:ascii="Times New Roman" w:cs="Times New Roman" w:eastAsia="PMingLiU" w:hAnsi="Times New Roman"/>
          <w:color w:val="0000FF"/>
          <w:sz w:val="20"/>
          <w:szCs w:val="20"/>
        </w:rPr>
        <w:t xml:space="preserve">)</w:t>
      </w:r>
      <w:r>
        <w:rPr>
          <w:rFonts w:ascii="Times New Roman" w:cs="Times New Roman" w:eastAsia="PMingLiU" w:hAnsi="Times New Roman"/>
          <w:color w:val="0000FF"/>
          <w:sz w:val="20"/>
          <w:szCs w:val="20"/>
        </w:rPr>
        <w:tab/>
        <w:t xml:space="preserve">(3)</w:t>
      </w:r>
    </w:p>
    <w:p>
      <w:pPr>
        <w:spacing w:after="0" w:line="240"/>
        <w:ind w:firstLine="288"/>
        <w:jc w:val="both"/>
      </w:pPr>
      <w:r>
        <w:rPr>
          <w:rFonts w:ascii="Times New Roman" w:cs="Times New Roman" w:eastAsia="PMingLiU" w:hAnsi="Times New Roman"/>
          <w:color w:val="0000FF"/>
          <w:sz w:val="20"/>
          <w:szCs w:val="20"/>
        </w:rPr>
        <w:t xml:space="preserve">where the sums run over all hours </w:t>
      </w:r>
      <w:r>
        <w:rPr>
          <w:rFonts w:ascii="Times New Roman" w:cs="Times New Roman" w:eastAsia="PMingLiU" w:hAnsi="Times New Roman"/>
          <w:i/>
          <w:iCs/>
          <w:color w:val="0000FF"/>
          <w:sz w:val="20"/>
          <w:szCs w:val="20"/>
        </w:rPr>
        <w:t xml:space="preserve">h</w:t>
      </w:r>
      <w:r>
        <w:rPr>
          <w:rFonts w:ascii="Times New Roman" w:cs="Times New Roman" w:eastAsia="PMingLiU" w:hAnsi="Times New Roman"/>
          <w:color w:val="0000FF"/>
          <w:sz w:val="20"/>
          <w:szCs w:val="20"/>
        </w:rPr>
        <w:t xml:space="preserve"> of that type and </w:t>
      </w:r>
      <w:r>
        <w:rPr>
          <w:rFonts w:ascii="Times New Roman" w:cs="Times New Roman" w:eastAsia="PMingLiU" w:hAnsi="Times New Roman"/>
          <w:i/>
          <w:iCs/>
          <w:color w:val="0000FF"/>
          <w:sz w:val="20"/>
          <w:szCs w:val="20"/>
        </w:rPr>
        <w:t xml:space="preserve">e</w:t>
      </w:r>
      <w:r>
        <w:rPr>
          <w:rFonts w:ascii="Times New Roman" w:cs="Times New Roman" w:eastAsia="PMingLiU" w:hAnsi="Times New Roman"/>
          <w:color w:val="0000FF"/>
          <w:sz w:val="20"/>
          <w:szCs w:val="20"/>
          <w:vertAlign w:val="subscript"/>
        </w:rPr>
        <w:t xml:space="preserve">i</w:t>
      </w:r>
      <w:r>
        <w:rPr>
          <w:rFonts w:ascii="Times New Roman" w:cs="Times New Roman" w:eastAsia="PMingLiU" w:hAnsi="Times New Roman"/>
          <w:color w:val="0000FF"/>
          <w:sz w:val="20"/>
          <w:szCs w:val="20"/>
        </w:rPr>
        <w:t xml:space="preserve">(</w:t>
      </w:r>
      <w:r>
        <w:rPr>
          <w:rFonts w:ascii="Times New Roman" w:cs="Times New Roman" w:eastAsia="PMingLiU" w:hAnsi="Times New Roman"/>
          <w:i/>
          <w:iCs/>
          <w:color w:val="0000FF"/>
          <w:sz w:val="20"/>
          <w:szCs w:val="20"/>
        </w:rPr>
        <w:t xml:space="preserve">h</w:t>
      </w:r>
      <w:r>
        <w:rPr>
          <w:rFonts w:ascii="Times New Roman" w:cs="Times New Roman" w:eastAsia="PMingLiU" w:hAnsi="Times New Roman"/>
          <w:color w:val="0000FF"/>
          <w:sz w:val="20"/>
          <w:szCs w:val="20"/>
        </w:rPr>
        <w:t xml:space="preserve">) is the share of the hour during which the station had a bike. In the implementation (ntu_pipeline.py reconcile, ntu_demand.py) the stock at the start of an hour is the panel value at hh:00, </w:t>
      </w:r>
      <w:r>
        <w:rPr>
          <w:rFonts w:ascii="Times New Roman" w:cs="Times New Roman" w:eastAsia="PMingLiU" w:hAnsi="Times New Roman"/>
          <w:i/>
          <w:iCs/>
          <w:color w:val="0000FF"/>
          <w:sz w:val="20"/>
          <w:szCs w:val="20"/>
        </w:rPr>
        <w:t xml:space="preserve">e</w:t>
      </w:r>
      <w:r>
        <w:rPr>
          <w:rFonts w:ascii="Times New Roman" w:cs="Times New Roman" w:eastAsia="PMingLiU" w:hAnsi="Times New Roman"/>
          <w:color w:val="0000FF"/>
          <w:sz w:val="20"/>
          <w:szCs w:val="20"/>
          <w:vertAlign w:val="subscript"/>
        </w:rPr>
        <w:t xml:space="preserve">i</w:t>
      </w:r>
      <w:r>
        <w:rPr>
          <w:rFonts w:ascii="Times New Roman" w:cs="Times New Roman" w:eastAsia="PMingLiU" w:hAnsi="Times New Roman"/>
          <w:color w:val="0000FF"/>
          <w:sz w:val="20"/>
          <w:szCs w:val="20"/>
        </w:rPr>
        <w:t xml:space="preserve"> is the share of the six slots with a bike, and rates are estimated per station, day type and hour. The two validity checks the proposal asked for, the R² of Δ</w:t>
      </w:r>
      <w:r>
        <w:rPr>
          <w:rFonts w:ascii="Times New Roman" w:cs="Times New Roman" w:eastAsia="PMingLiU" w:hAnsi="Times New Roman"/>
          <w:i/>
          <w:iCs/>
          <w:color w:val="0000FF"/>
          <w:sz w:val="20"/>
          <w:szCs w:val="20"/>
        </w:rPr>
        <w:t xml:space="preserve">s</w:t>
      </w:r>
      <w:r>
        <w:rPr>
          <w:rFonts w:ascii="Times New Roman" w:cs="Times New Roman" w:eastAsia="PMingLiU" w:hAnsi="Times New Roman"/>
          <w:color w:val="0000FF"/>
          <w:sz w:val="20"/>
          <w:szCs w:val="20"/>
        </w:rPr>
        <w:t xml:space="preserve"> against (</w:t>
      </w:r>
      <w:r>
        <w:rPr>
          <w:rFonts w:ascii="Times New Roman" w:cs="Times New Roman" w:eastAsia="PMingLiU" w:hAnsi="Times New Roman"/>
          <w:i/>
          <w:iCs/>
          <w:color w:val="0000FF"/>
          <w:sz w:val="20"/>
          <w:szCs w:val="20"/>
        </w:rPr>
        <w:t xml:space="preserve">q</w:t>
      </w:r>
      <w:r>
        <w:rPr>
          <w:rFonts w:ascii="Times New Roman" w:cs="Times New Roman" w:eastAsia="PMingLiU" w:hAnsi="Times New Roman"/>
          <w:color w:val="0000FF"/>
          <w:sz w:val="20"/>
          <w:szCs w:val="20"/>
        </w:rPr>
        <w:t xml:space="preserve"> − </w:t>
      </w:r>
      <w:r>
        <w:rPr>
          <w:rFonts w:ascii="Times New Roman" w:cs="Times New Roman" w:eastAsia="PMingLiU" w:hAnsi="Times New Roman"/>
          <w:i/>
          <w:iCs/>
          <w:color w:val="0000FF"/>
          <w:sz w:val="20"/>
          <w:szCs w:val="20"/>
        </w:rPr>
        <w:t xml:space="preserve">r</w:t>
      </w:r>
      <w:r>
        <w:rPr>
          <w:rFonts w:ascii="Times New Roman" w:cs="Times New Roman" w:eastAsia="PMingLiU" w:hAnsi="Times New Roman"/>
          <w:color w:val="0000FF"/>
          <w:sz w:val="20"/>
          <w:szCs w:val="20"/>
        </w:rPr>
        <w:t xml:space="preserve">) on hours without inferred moves and the R² for reproducing the next-hour stock once moves are added (required to exceed 0.8), are reported in Sec. 3.3.</w:t>
      </w:r>
    </w:p>
    <w:p>
      <w:pPr>
        <w:keepNext/>
        <w:spacing w:after="20" w:before="60" w:line="240"/>
      </w:pPr>
      <w:r>
        <w:rPr>
          <w:rFonts w:ascii="Times New Roman" w:cs="Times New Roman" w:eastAsia="PMingLiU" w:hAnsi="Times New Roman"/>
          <w:b/>
          <w:bCs/>
          <w:i/>
          <w:iCs/>
          <w:color w:val="0000FF"/>
          <w:sz w:val="20"/>
          <w:szCs w:val="20"/>
        </w:rPr>
        <w:t xml:space="preserve">2.3.1. Inference checks (validate_moves.py)</w:t>
      </w:r>
    </w:p>
    <w:p>
      <w:pPr>
        <w:keepNext/>
        <w:spacing w:after="0" w:line="240"/>
        <w:ind w:firstLine="288"/>
        <w:jc w:val="both"/>
      </w:pPr>
      <w:r>
        <w:rPr>
          <w:rFonts w:ascii="Times New Roman" w:cs="Times New Roman" w:eastAsia="PMingLiU" w:hAnsi="Times New Roman"/>
          <w:color w:val="0000FF"/>
          <w:sz w:val="20"/>
          <w:szCs w:val="20"/>
        </w:rPr>
        <w:t xml:space="preserve">The move labels are a by-product of thresholding, so four checks that do not use the threshold were added:</w:t>
      </w:r>
    </w:p>
    <w:p>
      <w:pPr>
        <w:spacing w:after="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color w:val="0000FF"/>
          <w:sz w:val="20"/>
          <w:szCs w:val="20"/>
        </w:rPr>
        <w:t xml:space="preserve">Conservation: per day, the change in area stock equals net trips plus flagged moves plus the unflagged residual; the unflagged part must be small and unbiased.</w:t>
      </w:r>
    </w:p>
    <w:p>
      <w:pPr>
        <w:spacing w:after="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color w:val="0000FF"/>
          <w:sz w:val="20"/>
          <w:szCs w:val="20"/>
        </w:rPr>
        <w:t xml:space="preserve">Sensitivity: the labels are recomputed for thresholds of 3, 5 and 8 bikes and windows of 1, 3 and 6 hours; volume, timing and R² must not hinge on the choice.</w:t>
      </w:r>
    </w:p>
    <w:p>
      <w:pPr>
        <w:spacing w:after="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color w:val="0000FF"/>
          <w:sz w:val="20"/>
          <w:szCs w:val="20"/>
        </w:rPr>
        <w:t xml:space="preserve">Jumps: a truck visit appears as a change of ≥ 8 bikes between consecutive 10-minute snapshots, which trips rarely produce; flagged windows should contain such jumps far more often than unflagged ones, and the jump total is a second estimate of the truck volume.</w:t>
      </w:r>
    </w:p>
    <w:p>
      <w:pPr>
        <w:spacing w:after="4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color w:val="0000FF"/>
          <w:sz w:val="20"/>
          <w:szCs w:val="20"/>
        </w:rPr>
        <w:t xml:space="preserve">Rates: on test-period station-hours that start with at least 8 bikes and half the docks full, demand is observed in full, so actual rentals should match the corrected training-period rate of Eq. (3) rather than the naive rate </w:t>
      </w:r>
      <w:r>
        <w:rPr>
          <w:rFonts w:ascii="Times New Roman" w:cs="Times New Roman" w:eastAsia="PMingLiU" w:hAnsi="Times New Roman"/>
          <w:color w:val="0000FF"/>
          <w:sz w:val="20"/>
          <w:szCs w:val="20"/>
        </w:rPr>
        <w:t xml:space="preserve">Σ</w:t>
      </w:r>
      <w:r>
        <w:rPr>
          <w:rFonts w:ascii="Times New Roman" w:cs="Times New Roman" w:eastAsia="PMingLiU" w:hAnsi="Times New Roman"/>
          <w:i/>
          <w:iCs/>
          <w:color w:val="0000FF"/>
          <w:sz w:val="20"/>
          <w:szCs w:val="20"/>
        </w:rPr>
        <w:t xml:space="preserve">r</w:t>
      </w:r>
      <w:r>
        <w:rPr>
          <w:rFonts w:ascii="Times New Roman" w:cs="Times New Roman" w:eastAsia="PMingLiU" w:hAnsi="Times New Roman"/>
          <w:color w:val="0000FF"/>
          <w:sz w:val="20"/>
          <w:szCs w:val="20"/>
        </w:rPr>
        <w:t xml:space="preserve">/hours.</w:t>
      </w:r>
    </w:p>
    <w:p>
      <w:pPr>
        <w:keepNext/>
        <w:spacing w:after="30" w:before="90" w:line="240"/>
      </w:pPr>
      <w:r>
        <w:rPr>
          <w:rFonts w:ascii="Times New Roman" w:cs="Times New Roman" w:eastAsia="PMingLiU" w:hAnsi="Times New Roman"/>
          <w:b/>
          <w:bCs/>
          <w:color w:val="0000FF"/>
          <w:sz w:val="22"/>
          <w:szCs w:val="22"/>
        </w:rPr>
        <w:t xml:space="preserve">2.4.</w:t>
      </w:r>
      <w:r>
        <w:rPr>
          <w:rFonts w:ascii="Times New Roman" w:cs="Times New Roman" w:eastAsia="PMingLiU" w:hAnsi="Times New Roman"/>
          <w:b/>
          <w:bCs/>
          <w:sz w:val="22"/>
          <w:szCs w:val="22"/>
        </w:rPr>
        <w:t xml:space="preserve"> Schedule-aware stockout prediction</w:t>
      </w:r>
    </w:p>
    <w:p>
      <w:pPr>
        <w:spacing w:after="0" w:line="240"/>
        <w:ind w:firstLine="288"/>
        <w:jc w:val="both"/>
      </w:pPr>
      <w:r>
        <w:rPr>
          <w:rFonts w:ascii="Times New Roman" w:cs="Times New Roman" w:eastAsia="PMingLiU" w:hAnsi="Times New Roman"/>
          <w:sz w:val="20"/>
          <w:szCs w:val="20"/>
        </w:rPr>
        <w:t xml:space="preserve">Features per station and 10-minute slot: minutes to the next and since the last bell (NTU periods end at 12:10, 15:10, 17:20; NSYSU on the hour), day of week, week of semester, lagged flows (1–3 h, same slot last week), current stock, capacity and stock at the three nearest stations. Baselines: persistence and seasonal mean; then LightGBM with Poisson objectives for rentals and returns; Monte-Carlo roll-out of the inventory over </w:t>
      </w:r>
      <w:r>
        <w:rPr>
          <w:rFonts w:ascii="Times New Roman" w:cs="Times New Roman" w:eastAsia="PMingLiU" w:hAnsi="Times New Roman"/>
          <w:i/>
          <w:iCs/>
          <w:sz w:val="20"/>
          <w:szCs w:val="20"/>
        </w:rPr>
        <w:t xml:space="preserve">h</w:t>
      </w:r>
      <w:r>
        <w:rPr>
          <w:rFonts w:ascii="Times New Roman" w:cs="Times New Roman" w:eastAsia="PMingLiU" w:hAnsi="Times New Roman"/>
          <w:sz w:val="20"/>
          <w:szCs w:val="20"/>
        </w:rPr>
        <w:t xml:space="preserve"> ∈ {15, 30, 60} min, giving P(</w:t>
      </w:r>
      <w:r>
        <w:rPr>
          <w:rFonts w:ascii="Times New Roman" w:cs="Times New Roman" w:eastAsia="PMingLiU" w:hAnsi="Times New Roman"/>
          <w:i/>
          <w:iCs/>
          <w:sz w:val="20"/>
          <w:szCs w:val="20"/>
        </w:rPr>
        <w:t xml:space="preserve">s</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t</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h</w:t>
      </w:r>
      <w:r>
        <w:rPr>
          <w:rFonts w:ascii="Times New Roman" w:cs="Times New Roman" w:eastAsia="PMingLiU" w:hAnsi="Times New Roman"/>
          <w:sz w:val="20"/>
          <w:szCs w:val="20"/>
        </w:rPr>
        <w:t xml:space="preserve">) = 0). Metrics: Brier score, AUC and expected calibration error (ECE), since the planner consumes probabilities. Transfer: train on NTU, test on NSYSU with 0–4 weeks of local data.</w:t>
      </w:r>
    </w:p>
    <w:p>
      <w:pPr>
        <w:spacing w:after="0" w:line="240"/>
        <w:ind w:firstLine="288"/>
        <w:jc w:val="both"/>
      </w:pPr>
      <w:r>
        <w:rPr>
          <w:rFonts w:ascii="Times New Roman" w:cs="Times New Roman" w:eastAsia="PMingLiU" w:hAnsi="Times New Roman"/>
          <w:b/>
          <w:bCs/>
          <w:color w:val="0000FF"/>
          <w:sz w:val="20"/>
          <w:szCs w:val="20"/>
        </w:rPr>
        <w:t xml:space="preserve">What was implemented. </w:t>
      </w:r>
      <w:r>
        <w:rPr>
          <w:rFonts w:ascii="Times New Roman" w:cs="Times New Roman" w:eastAsia="PMingLiU" w:hAnsi="Times New Roman"/>
          <w:color w:val="0000FF"/>
          <w:sz w:val="20"/>
          <w:szCs w:val="20"/>
        </w:rPr>
        <w:t xml:space="preserve">The label of Eq. (1) is predicted in two ways that are compared on the same test rows: directly, by a classifier on the 28 features of Table 1 (the first 22 need only inventory and form the set used for transfer), and by the Poisson roll-out of the proposal, implemented as described in Sec. 2.4.1. One choice changed against the proposal: the horizons are 30, 60, 90 and 120 min; 15 min was dropped because at 10-minute resolution it leaves a single slot of lead time, too short for a truck to act on, and 90 and 120 min were added because a pre-bell plan needs the longer view. The predictor is built for 06:00–23:00 (code: features.py, train_predictor.py, horizon_sweep.py).</w:t>
      </w:r>
    </w:p>
    <w:p>
      <w:pPr>
        <w:keepNext/>
        <w:keepLines/>
        <w:spacing w:after="50" w:before="100" w:line="220"/>
        <w:jc w:val="both"/>
      </w:pPr>
      <w:r>
        <w:rPr>
          <w:rFonts w:ascii="Times New Roman" w:cs="Times New Roman" w:eastAsia="PMingLiU" w:hAnsi="Times New Roman"/>
          <w:b/>
          <w:bCs/>
          <w:color w:val="0000FF"/>
          <w:sz w:val="17"/>
          <w:szCs w:val="17"/>
        </w:rPr>
        <w:t xml:space="preserve">Table 1. </w:t>
      </w:r>
      <w:r>
        <w:rPr>
          <w:rFonts w:ascii="Times New Roman" w:cs="Times New Roman" w:eastAsia="PMingLiU" w:hAnsi="Times New Roman"/>
          <w:color w:val="0000FF"/>
          <w:sz w:val="17"/>
          <w:szCs w:val="17"/>
        </w:rPr>
        <w:t xml:space="preserve">Feature groups. The inventory-only set (groups A–D) is used at NSYSU; the full NTU model adds group E and the station id.</w:t>
      </w:r>
    </w:p>
    <w:tbl>
      <w:tblPr>
        <w:tblW w:type="dxa" w:w="4677"/>
        <w:tblBorders>
          <w:top w:val="single" w:color="999999" w:sz="4"/>
          <w:left w:val="none" w:color="FFFFFF" w:sz="0"/>
          <w:bottom w:val="single" w:color="999999" w:sz="4"/>
          <w:right w:val="none" w:color="FFFFFF" w:sz="0"/>
          <w:insideH w:val="single" w:color="BBBBBB" w:sz="2"/>
          <w:insideV w:val="none" w:color="FFFFFF" w:sz="0"/>
        </w:tblBorders>
      </w:tblPr>
      <w:tblGrid>
        <w:gridCol w:w="980"/>
        <w:gridCol w:w="2497"/>
        <w:gridCol w:w="1200"/>
      </w:tblGrid>
      <w:tr>
        <w:trPr>
          <w:cantSplit/>
          <w:tblHeader/>
        </w:trPr>
        <w:tc>
          <w:tcPr>
            <w:tcW w:type="dxa" w:w="980"/>
            <w:shd w:fill="EDEDED" w:color="auto" w:val="clear"/>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bCs/>
                <w:color w:val="0000FF"/>
                <w:sz w:val="15"/>
                <w:szCs w:val="15"/>
              </w:rPr>
              <w:t xml:space="preserve">Group</w:t>
            </w:r>
          </w:p>
        </w:tc>
        <w:tc>
          <w:tcPr>
            <w:tcW w:type="dxa" w:w="2497"/>
            <w:shd w:fill="EDEDED" w:color="auto" w:val="clear"/>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bCs/>
                <w:color w:val="0000FF"/>
                <w:sz w:val="15"/>
                <w:szCs w:val="15"/>
              </w:rPr>
              <w:t xml:space="preserve">Features (per station and 10-min slot)</w:t>
            </w:r>
          </w:p>
        </w:tc>
        <w:tc>
          <w:tcPr>
            <w:tcW w:type="dxa" w:w="1200"/>
            <w:shd w:fill="EDEDED" w:color="auto" w:val="clear"/>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bCs/>
                <w:color w:val="0000FF"/>
                <w:sz w:val="15"/>
                <w:szCs w:val="15"/>
              </w:rPr>
              <w:t xml:space="preserve">Source</w:t>
            </w:r>
          </w:p>
        </w:tc>
      </w:tr>
      <w:tr>
        <w:trPr>
          <w:cantSplit/>
        </w:trPr>
        <w:tc>
          <w:tcPr>
            <w:tcW w:type="dxa" w:w="98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A time</w:t>
            </w:r>
          </w:p>
        </w:tc>
        <w:tc>
          <w:tcPr>
            <w:tcW w:type="dxa" w:w="249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hour of day, day of week, off-day flag, semester week, in-semester flag</w:t>
            </w:r>
          </w:p>
        </w:tc>
        <w:tc>
          <w:tcPr>
            <w:tcW w:type="dxa" w:w="12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calendar</w:t>
            </w:r>
          </w:p>
        </w:tc>
      </w:tr>
      <w:tr>
        <w:trPr>
          <w:cantSplit/>
        </w:trPr>
        <w:tc>
          <w:tcPr>
            <w:tcW w:type="dxa" w:w="98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B bell</w:t>
            </w:r>
          </w:p>
        </w:tc>
        <w:tc>
          <w:tcPr>
            <w:tcW w:type="dxa" w:w="249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minutes to the next and since the last period end; the same for the three major bells (12:10, 15:10, 17:20 at NTU)</w:t>
            </w:r>
          </w:p>
        </w:tc>
        <w:tc>
          <w:tcPr>
            <w:tcW w:type="dxa" w:w="12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timetable</w:t>
            </w:r>
          </w:p>
        </w:tc>
      </w:tr>
      <w:tr>
        <w:trPr>
          <w:cantSplit/>
        </w:trPr>
        <w:tc>
          <w:tcPr>
            <w:tcW w:type="dxa" w:w="98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C state</w:t>
            </w:r>
          </w:p>
        </w:tc>
        <w:tc>
          <w:tcPr>
            <w:tcW w:type="dxa" w:w="249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bikes, free docks, capacity, fill ratio, change over 10 / 30 / 60 min, minimum over the last hour, empty-now flag, minutes empty in the last hour</w:t>
            </w:r>
          </w:p>
        </w:tc>
        <w:tc>
          <w:tcPr>
            <w:tcW w:type="dxa" w:w="12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inventory panel</w:t>
            </w:r>
          </w:p>
        </w:tc>
      </w:tr>
      <w:tr>
        <w:trPr>
          <w:cantSplit/>
        </w:trPr>
        <w:tc>
          <w:tcPr>
            <w:tcW w:type="dxa" w:w="98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D neighbours</w:t>
            </w:r>
          </w:p>
        </w:tc>
        <w:tc>
          <w:tcPr>
            <w:tcW w:type="dxa" w:w="249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bikes and empty count at the 3 nearest stations, mean fill of the 5 nearest</w:t>
            </w:r>
          </w:p>
        </w:tc>
        <w:tc>
          <w:tcPr>
            <w:tcW w:type="dxa" w:w="12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inventory panel</w:t>
            </w:r>
          </w:p>
        </w:tc>
      </w:tr>
      <w:tr>
        <w:trPr>
          <w:cantSplit/>
        </w:trPr>
        <w:tc>
          <w:tcPr>
            <w:tcW w:type="dxa" w:w="980"/>
            <w:tcMar>
              <w:top w:type="dxa" w:w="14"/>
              <w:left w:type="dxa" w:w="50"/>
              <w:bottom w:type="dxa" w:w="14"/>
              <w:right w:type="dxa" w:w="50"/>
            </w:tcMar>
            <w:vAlign w:val="center"/>
          </w:tcPr>
          <w:p>
            <w:pPr>
              <w:keepNext w:val="false"/>
              <w:keepLines/>
              <w:spacing w:after="0" w:line="210"/>
              <w:jc w:val="left"/>
            </w:pPr>
            <w:r>
              <w:rPr>
                <w:rFonts w:ascii="Times New Roman" w:cs="Times New Roman" w:eastAsia="PMingLiU" w:hAnsi="Times New Roman"/>
                <w:b w:val="false"/>
                <w:bCs w:val="false"/>
                <w:color w:val="0000FF"/>
                <w:sz w:val="15"/>
                <w:szCs w:val="15"/>
              </w:rPr>
              <w:t xml:space="preserve">E flows</w:t>
            </w:r>
          </w:p>
        </w:tc>
        <w:tc>
          <w:tcPr>
            <w:tcW w:type="dxa" w:w="2497"/>
            <w:tcMar>
              <w:top w:type="dxa" w:w="14"/>
              <w:left w:type="dxa" w:w="50"/>
              <w:bottom w:type="dxa" w:w="14"/>
              <w:right w:type="dxa" w:w="50"/>
            </w:tcMar>
            <w:vAlign w:val="center"/>
          </w:tcPr>
          <w:p>
            <w:pPr>
              <w:keepNext w:val="false"/>
              <w:keepLines/>
              <w:spacing w:after="0" w:line="210"/>
              <w:jc w:val="left"/>
            </w:pPr>
            <w:r>
              <w:rPr>
                <w:rFonts w:ascii="Times New Roman" w:cs="Times New Roman" w:eastAsia="PMingLiU" w:hAnsi="Times New Roman"/>
                <w:b w:val="false"/>
                <w:bCs w:val="false"/>
                <w:color w:val="0000FF"/>
                <w:sz w:val="15"/>
                <w:szCs w:val="15"/>
              </w:rPr>
              <w:t xml:space="preserve">rentals and returns in the last two complete hours, rentals in the same hour last week, mean rentals for this station and hour-of-week on the training period</w:t>
            </w:r>
          </w:p>
        </w:tc>
        <w:tc>
          <w:tcPr>
            <w:tcW w:type="dxa" w:w="1200"/>
            <w:tcMar>
              <w:top w:type="dxa" w:w="14"/>
              <w:left w:type="dxa" w:w="50"/>
              <w:bottom w:type="dxa" w:w="14"/>
              <w:right w:type="dxa" w:w="50"/>
            </w:tcMar>
            <w:vAlign w:val="center"/>
          </w:tcPr>
          <w:p>
            <w:pPr>
              <w:keepNext w:val="false"/>
              <w:keepLines/>
              <w:spacing w:after="0" w:line="210"/>
              <w:jc w:val="left"/>
            </w:pPr>
            <w:r>
              <w:rPr>
                <w:rFonts w:ascii="Times New Roman" w:cs="Times New Roman" w:eastAsia="PMingLiU" w:hAnsi="Times New Roman"/>
                <w:b w:val="false"/>
                <w:bCs w:val="false"/>
                <w:color w:val="0000FF"/>
                <w:sz w:val="15"/>
                <w:szCs w:val="15"/>
              </w:rPr>
              <w:t xml:space="preserve">trip records</w:t>
            </w:r>
          </w:p>
        </w:tc>
      </w:tr>
    </w:tbl>
    <w:p>
      <w:pPr>
        <w:spacing w:after="80" w:before="0" w:line="120"/>
      </w:pPr>
      <w:r>
        <w:rPr>
          <w:rFonts w:ascii="Times New Roman" w:cs="Times New Roman" w:eastAsia="PMingLiU" w:hAnsi="Times New Roman"/>
          <w:sz w:val="6"/>
          <w:szCs w:val="6"/>
        </w:rPr>
        <w:t xml:space="preserve"/>
      </w:r>
    </w:p>
    <w:p>
      <w:pPr>
        <w:keepNext/>
        <w:spacing w:after="20" w:before="60" w:line="240"/>
      </w:pPr>
      <w:r>
        <w:rPr>
          <w:rFonts w:ascii="Times New Roman" w:cs="Times New Roman" w:eastAsia="PMingLiU" w:hAnsi="Times New Roman"/>
          <w:b/>
          <w:bCs/>
          <w:i/>
          <w:iCs/>
          <w:color w:val="0000FF"/>
          <w:sz w:val="20"/>
          <w:szCs w:val="20"/>
        </w:rPr>
        <w:t xml:space="preserve">2.4.1. Poisson roll-out (horizon_sweep.py)</w:t>
      </w:r>
    </w:p>
    <w:p>
      <w:pPr>
        <w:keepNext/>
        <w:spacing w:after="0" w:line="240"/>
        <w:ind w:firstLine="288"/>
        <w:jc w:val="both"/>
      </w:pPr>
      <w:r>
        <w:rPr>
          <w:rFonts w:ascii="Times New Roman" w:cs="Times New Roman" w:eastAsia="PMingLiU" w:hAnsi="Times New Roman"/>
          <w:color w:val="0000FF"/>
          <w:sz w:val="20"/>
          <w:szCs w:val="20"/>
        </w:rPr>
        <w:t xml:space="preserve">This is the method the proposal described, made exact:</w:t>
      </w:r>
    </w:p>
    <w:p>
      <w:pPr>
        <w:spacing w:after="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color w:val="0000FF"/>
          <w:sz w:val="20"/>
          <w:szCs w:val="20"/>
        </w:rPr>
        <w:t xml:space="preserve">Rates: rentals and returns per station, day type and hour-of-day from the training period, each divided by its own exposure as in Eq. (3) (slots with a bike for rentals, with a free dock for returns) and shrunk toward the hour-of-day mean over all stations with the weight of three hours of exposure; a naive variant uses </w:t>
      </w:r>
      <w:r>
        <w:rPr>
          <w:rFonts w:ascii="Times New Roman" w:cs="Times New Roman" w:eastAsia="PMingLiU" w:hAnsi="Times New Roman"/>
          <w:color w:val="0000FF"/>
          <w:sz w:val="20"/>
          <w:szCs w:val="20"/>
        </w:rPr>
        <w:t xml:space="preserve">Σ</w:t>
      </w:r>
      <w:r>
        <w:rPr>
          <w:rFonts w:ascii="Times New Roman" w:cs="Times New Roman" w:eastAsia="PMingLiU" w:hAnsi="Times New Roman"/>
          <w:i/>
          <w:iCs/>
          <w:color w:val="0000FF"/>
          <w:sz w:val="20"/>
          <w:szCs w:val="20"/>
        </w:rPr>
        <w:t xml:space="preserve">r</w:t>
      </w:r>
      <w:r>
        <w:rPr>
          <w:rFonts w:ascii="Times New Roman" w:cs="Times New Roman" w:eastAsia="PMingLiU" w:hAnsi="Times New Roman"/>
          <w:color w:val="0000FF"/>
          <w:sz w:val="20"/>
          <w:szCs w:val="20"/>
        </w:rPr>
        <w:t xml:space="preserve">/hours.</w:t>
      </w:r>
    </w:p>
    <w:p>
      <w:pPr>
        <w:spacing w:after="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color w:val="0000FF"/>
          <w:sz w:val="20"/>
          <w:szCs w:val="20"/>
        </w:rPr>
        <w:t xml:space="preserve">Dynamics: in each 10-minute step the station rents Poisson(λ</w:t>
      </w:r>
      <w:r>
        <w:rPr>
          <w:rFonts w:ascii="Times New Roman" w:cs="Times New Roman" w:eastAsia="PMingLiU" w:hAnsi="Times New Roman"/>
          <w:color w:val="0000FF"/>
          <w:sz w:val="20"/>
          <w:szCs w:val="20"/>
          <w:vertAlign w:val="subscript"/>
        </w:rPr>
        <w:t xml:space="preserve">r</w:t>
      </w:r>
      <w:r>
        <w:rPr>
          <w:rFonts w:ascii="Times New Roman" w:cs="Times New Roman" w:eastAsia="PMingLiU" w:hAnsi="Times New Roman"/>
          <w:color w:val="0000FF"/>
          <w:sz w:val="20"/>
          <w:szCs w:val="20"/>
        </w:rPr>
        <w:t xml:space="preserve">/6) bikes, capped by the </w:t>
      </w:r>
      <w:r>
        <w:rPr>
          <w:rFonts w:ascii="Times New Roman" w:cs="Times New Roman" w:eastAsia="PMingLiU" w:hAnsi="Times New Roman"/>
          <w:i/>
          <w:iCs/>
          <w:color w:val="0000FF"/>
          <w:sz w:val="20"/>
          <w:szCs w:val="20"/>
        </w:rPr>
        <w:t xml:space="preserve">s</w:t>
      </w:r>
      <w:r>
        <w:rPr>
          <w:rFonts w:ascii="Times New Roman" w:cs="Times New Roman" w:eastAsia="PMingLiU" w:hAnsi="Times New Roman"/>
          <w:color w:val="0000FF"/>
          <w:sz w:val="20"/>
          <w:szCs w:val="20"/>
        </w:rPr>
        <w:t xml:space="preserve"> present, and receives Poisson(λ</w:t>
      </w:r>
      <w:r>
        <w:rPr>
          <w:rFonts w:ascii="Times New Roman" w:cs="Times New Roman" w:eastAsia="PMingLiU" w:hAnsi="Times New Roman"/>
          <w:color w:val="0000FF"/>
          <w:sz w:val="20"/>
          <w:szCs w:val="20"/>
          <w:vertAlign w:val="subscript"/>
        </w:rPr>
        <w:t xml:space="preserve">q</w:t>
      </w:r>
      <w:r>
        <w:rPr>
          <w:rFonts w:ascii="Times New Roman" w:cs="Times New Roman" w:eastAsia="PMingLiU" w:hAnsi="Times New Roman"/>
          <w:color w:val="0000FF"/>
          <w:sz w:val="20"/>
          <w:szCs w:val="20"/>
        </w:rPr>
        <w:t xml:space="preserve">/6) returns, capped by the </w:t>
      </w:r>
      <w:r>
        <w:rPr>
          <w:rFonts w:ascii="Times New Roman" w:cs="Times New Roman" w:eastAsia="PMingLiU" w:hAnsi="Times New Roman"/>
          <w:i/>
          <w:iCs/>
          <w:color w:val="0000FF"/>
          <w:sz w:val="20"/>
          <w:szCs w:val="20"/>
        </w:rPr>
        <w:t xml:space="preserve">c</w:t>
      </w:r>
      <w:r>
        <w:rPr>
          <w:rFonts w:ascii="Times New Roman" w:cs="Times New Roman" w:eastAsia="PMingLiU" w:hAnsi="Times New Roman"/>
          <w:color w:val="0000FF"/>
          <w:sz w:val="20"/>
          <w:szCs w:val="20"/>
        </w:rPr>
        <w:t xml:space="preserve"> − </w:t>
      </w:r>
      <w:r>
        <w:rPr>
          <w:rFonts w:ascii="Times New Roman" w:cs="Times New Roman" w:eastAsia="PMingLiU" w:hAnsi="Times New Roman"/>
          <w:i/>
          <w:iCs/>
          <w:color w:val="0000FF"/>
          <w:sz w:val="20"/>
          <w:szCs w:val="20"/>
        </w:rPr>
        <w:t xml:space="preserve">s</w:t>
      </w:r>
      <w:r>
        <w:rPr>
          <w:rFonts w:ascii="Times New Roman" w:cs="Times New Roman" w:eastAsia="PMingLiU" w:hAnsi="Times New Roman"/>
          <w:color w:val="0000FF"/>
          <w:sz w:val="20"/>
          <w:szCs w:val="20"/>
        </w:rPr>
        <w:t xml:space="preserve"> free docks, so the inventory is a birth–death chain on {0, …, </w:t>
      </w:r>
      <w:r>
        <w:rPr>
          <w:rFonts w:ascii="Times New Roman" w:cs="Times New Roman" w:eastAsia="PMingLiU" w:hAnsi="Times New Roman"/>
          <w:i/>
          <w:iCs/>
          <w:color w:val="0000FF"/>
          <w:sz w:val="20"/>
          <w:szCs w:val="20"/>
        </w:rPr>
        <w:t xml:space="preserve">c</w:t>
      </w:r>
      <w:r>
        <w:rPr>
          <w:rFonts w:ascii="Times New Roman" w:cs="Times New Roman" w:eastAsia="PMingLiU" w:hAnsi="Times New Roman"/>
          <w:color w:val="0000FF"/>
          <w:sz w:val="20"/>
          <w:szCs w:val="20"/>
        </w:rPr>
        <w:t xml:space="preserve">} [18–20]. State 0 is made absorbing after the first step, because Eq. (1) asks whether the station is empty at any later slot; a station that is empty now may still be refilled in the first step.</w:t>
      </w:r>
    </w:p>
    <w:p>
      <w:pPr>
        <w:spacing w:after="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color w:val="0000FF"/>
          <w:sz w:val="20"/>
          <w:szCs w:val="20"/>
        </w:rPr>
        <w:t xml:space="preserve">Exact evaluation: with </w:t>
      </w:r>
      <w:r>
        <w:rPr>
          <w:rFonts w:ascii="Times New Roman" w:cs="Times New Roman" w:eastAsia="PMingLiU" w:hAnsi="Times New Roman"/>
          <w:i/>
          <w:iCs/>
          <w:color w:val="0000FF"/>
          <w:sz w:val="20"/>
          <w:szCs w:val="20"/>
        </w:rPr>
        <w:t xml:space="preserve">K</w:t>
      </w:r>
      <w:r>
        <w:rPr>
          <w:rFonts w:ascii="Times New Roman" w:cs="Times New Roman" w:eastAsia="PMingLiU" w:hAnsi="Times New Roman"/>
          <w:color w:val="0000FF"/>
          <w:sz w:val="20"/>
          <w:szCs w:val="20"/>
          <w:vertAlign w:val="subscript"/>
        </w:rPr>
        <w:t xml:space="preserve">j</w:t>
      </w:r>
      <w:r>
        <w:rPr>
          <w:rFonts w:ascii="Times New Roman" w:cs="Times New Roman" w:eastAsia="PMingLiU" w:hAnsi="Times New Roman"/>
          <w:color w:val="0000FF"/>
          <w:sz w:val="20"/>
          <w:szCs w:val="20"/>
        </w:rPr>
        <w:t xml:space="preserve"> the transition matrix of the hour in which step </w:t>
      </w:r>
      <w:r>
        <w:rPr>
          <w:rFonts w:ascii="Times New Roman" w:cs="Times New Roman" w:eastAsia="PMingLiU" w:hAnsi="Times New Roman"/>
          <w:i/>
          <w:iCs/>
          <w:color w:val="0000FF"/>
          <w:sz w:val="20"/>
          <w:szCs w:val="20"/>
        </w:rPr>
        <w:t xml:space="preserve">j</w:t>
      </w:r>
      <w:r>
        <w:rPr>
          <w:rFonts w:ascii="Times New Roman" w:cs="Times New Roman" w:eastAsia="PMingLiU" w:hAnsi="Times New Roman"/>
          <w:color w:val="0000FF"/>
          <w:sz w:val="20"/>
          <w:szCs w:val="20"/>
        </w:rPr>
        <w:t xml:space="preserve"> falls, </w:t>
      </w:r>
      <w:r>
        <w:rPr>
          <w:rFonts w:ascii="Times New Roman" w:cs="Times New Roman" w:eastAsia="PMingLiU" w:hAnsi="Times New Roman"/>
          <w:i/>
          <w:iCs/>
          <w:color w:val="0000FF"/>
          <w:sz w:val="20"/>
          <w:szCs w:val="20"/>
        </w:rPr>
        <w:t xml:space="preserve">p</w:t>
      </w:r>
      <w:r>
        <w:rPr>
          <w:rFonts w:ascii="Times New Roman" w:cs="Times New Roman" w:eastAsia="PMingLiU" w:hAnsi="Times New Roman"/>
          <w:color w:val="0000FF"/>
          <w:sz w:val="20"/>
          <w:szCs w:val="20"/>
          <w:vertAlign w:val="subscript"/>
        </w:rPr>
        <w:t xml:space="preserve">i</w:t>
      </w:r>
      <w:r>
        <w:rPr>
          <w:rFonts w:ascii="Times New Roman" w:cs="Times New Roman" w:eastAsia="PMingLiU" w:hAnsi="Times New Roman"/>
          <w:color w:val="0000FF"/>
          <w:sz w:val="20"/>
          <w:szCs w:val="20"/>
        </w:rPr>
        <w:t xml:space="preserve">(</w:t>
      </w:r>
      <w:r>
        <w:rPr>
          <w:rFonts w:ascii="Times New Roman" w:cs="Times New Roman" w:eastAsia="PMingLiU" w:hAnsi="Times New Roman"/>
          <w:i/>
          <w:iCs/>
          <w:color w:val="0000FF"/>
          <w:sz w:val="20"/>
          <w:szCs w:val="20"/>
        </w:rPr>
        <w:t xml:space="preserve">t</w:t>
      </w:r>
      <w:r>
        <w:rPr>
          <w:rFonts w:ascii="Times New Roman" w:cs="Times New Roman" w:eastAsia="PMingLiU" w:hAnsi="Times New Roman"/>
          <w:color w:val="0000FF"/>
          <w:sz w:val="20"/>
          <w:szCs w:val="20"/>
        </w:rPr>
        <w:t xml:space="preserve">, </w:t>
      </w:r>
      <w:r>
        <w:rPr>
          <w:rFonts w:ascii="Times New Roman" w:cs="Times New Roman" w:eastAsia="PMingLiU" w:hAnsi="Times New Roman"/>
          <w:i/>
          <w:iCs/>
          <w:color w:val="0000FF"/>
          <w:sz w:val="20"/>
          <w:szCs w:val="20"/>
        </w:rPr>
        <w:t xml:space="preserve">h</w:t>
      </w:r>
      <w:r>
        <w:rPr>
          <w:rFonts w:ascii="Times New Roman" w:cs="Times New Roman" w:eastAsia="PMingLiU" w:hAnsi="Times New Roman"/>
          <w:color w:val="0000FF"/>
          <w:sz w:val="20"/>
          <w:szCs w:val="20"/>
        </w:rPr>
        <w:t xml:space="preserve">) is entry (</w:t>
      </w:r>
      <w:r>
        <w:rPr>
          <w:rFonts w:ascii="Times New Roman" w:cs="Times New Roman" w:eastAsia="PMingLiU" w:hAnsi="Times New Roman"/>
          <w:i/>
          <w:iCs/>
          <w:color w:val="0000FF"/>
          <w:sz w:val="20"/>
          <w:szCs w:val="20"/>
        </w:rPr>
        <w:t xml:space="preserve">s</w:t>
      </w:r>
      <w:r>
        <w:rPr>
          <w:rFonts w:ascii="Times New Roman" w:cs="Times New Roman" w:eastAsia="PMingLiU" w:hAnsi="Times New Roman"/>
          <w:color w:val="0000FF"/>
          <w:sz w:val="20"/>
          <w:szCs w:val="20"/>
          <w:vertAlign w:val="subscript"/>
        </w:rPr>
        <w:t xml:space="preserve">i</w:t>
      </w:r>
      <w:r>
        <w:rPr>
          <w:rFonts w:ascii="Times New Roman" w:cs="Times New Roman" w:eastAsia="PMingLiU" w:hAnsi="Times New Roman"/>
          <w:color w:val="0000FF"/>
          <w:sz w:val="20"/>
          <w:szCs w:val="20"/>
        </w:rPr>
        <w:t xml:space="preserve">(</w:t>
      </w:r>
      <w:r>
        <w:rPr>
          <w:rFonts w:ascii="Times New Roman" w:cs="Times New Roman" w:eastAsia="PMingLiU" w:hAnsi="Times New Roman"/>
          <w:i/>
          <w:iCs/>
          <w:color w:val="0000FF"/>
          <w:sz w:val="20"/>
          <w:szCs w:val="20"/>
        </w:rPr>
        <w:t xml:space="preserve">t</w:t>
      </w:r>
      <w:r>
        <w:rPr>
          <w:rFonts w:ascii="Times New Roman" w:cs="Times New Roman" w:eastAsia="PMingLiU" w:hAnsi="Times New Roman"/>
          <w:color w:val="0000FF"/>
          <w:sz w:val="20"/>
          <w:szCs w:val="20"/>
        </w:rPr>
        <w:t xml:space="preserve">), 0) of </w:t>
      </w:r>
      <w:r>
        <w:rPr>
          <w:rFonts w:ascii="Times New Roman" w:cs="Times New Roman" w:eastAsia="PMingLiU" w:hAnsi="Times New Roman"/>
          <w:i/>
          <w:iCs/>
          <w:color w:val="0000FF"/>
          <w:sz w:val="20"/>
          <w:szCs w:val="20"/>
        </w:rPr>
        <w:t xml:space="preserve">K</w:t>
      </w:r>
      <w:r>
        <w:rPr>
          <w:rFonts w:ascii="Times New Roman" w:cs="Times New Roman" w:eastAsia="PMingLiU" w:hAnsi="Times New Roman"/>
          <w:color w:val="0000FF"/>
          <w:sz w:val="20"/>
          <w:szCs w:val="20"/>
          <w:vertAlign w:val="subscript"/>
        </w:rPr>
        <w:t xml:space="preserve">1</w:t>
      </w:r>
      <w:r>
        <w:rPr>
          <w:rFonts w:ascii="Times New Roman" w:cs="Times New Roman" w:eastAsia="PMingLiU" w:hAnsi="Times New Roman"/>
          <w:i/>
          <w:iCs/>
          <w:color w:val="0000FF"/>
          <w:sz w:val="20"/>
          <w:szCs w:val="20"/>
        </w:rPr>
        <w:t xml:space="preserve">K</w:t>
      </w:r>
      <w:r>
        <w:rPr>
          <w:rFonts w:ascii="Times New Roman" w:cs="Times New Roman" w:eastAsia="PMingLiU" w:hAnsi="Times New Roman"/>
          <w:color w:val="0000FF"/>
          <w:sz w:val="20"/>
          <w:szCs w:val="20"/>
          <w:vertAlign w:val="subscript"/>
        </w:rPr>
        <w:t xml:space="preserve">2</w:t>
      </w:r>
      <w:r>
        <w:rPr>
          <w:rFonts w:ascii="Times New Roman" w:cs="Times New Roman" w:eastAsia="PMingLiU" w:hAnsi="Times New Roman"/>
          <w:color w:val="0000FF"/>
          <w:sz w:val="20"/>
          <w:szCs w:val="20"/>
        </w:rPr>
        <w:t xml:space="preserve">⋯</w:t>
      </w:r>
      <w:r>
        <w:rPr>
          <w:rFonts w:ascii="Times New Roman" w:cs="Times New Roman" w:eastAsia="PMingLiU" w:hAnsi="Times New Roman"/>
          <w:i/>
          <w:iCs/>
          <w:color w:val="0000FF"/>
          <w:sz w:val="20"/>
          <w:szCs w:val="20"/>
        </w:rPr>
        <w:t xml:space="preserve">K</w:t>
      </w:r>
      <w:r>
        <w:rPr>
          <w:rFonts w:ascii="Times New Roman" w:cs="Times New Roman" w:eastAsia="PMingLiU" w:hAnsi="Times New Roman"/>
          <w:color w:val="0000FF"/>
          <w:sz w:val="20"/>
          <w:szCs w:val="20"/>
          <w:vertAlign w:val="subscript"/>
        </w:rPr>
        <w:t xml:space="preserve">h/10</w:t>
      </w:r>
      <w:r>
        <w:rPr>
          <w:rFonts w:ascii="Times New Roman" w:cs="Times New Roman" w:eastAsia="PMingLiU" w:hAnsi="Times New Roman"/>
          <w:color w:val="0000FF"/>
          <w:sz w:val="20"/>
          <w:szCs w:val="20"/>
        </w:rPr>
        <w:t xml:space="preserve">, computed once per station, day type and slot (29 k groups, 8 s). This is the limit of the Monte-Carlo estimate the proposal described; a sampler with 400 draws was run on 3,000 test rows as a check.</w:t>
      </w:r>
    </w:p>
    <w:p>
      <w:pPr>
        <w:spacing w:after="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color w:val="0000FF"/>
          <w:sz w:val="20"/>
          <w:szCs w:val="20"/>
        </w:rPr>
        <w:t xml:space="preserve">Calibration: the roll-out models demand only, not the operator who refills stations, so a second version passes its probabilities through isotonic regression [21] fitted on the validation weeks, which changes the values but not the ranking.</w:t>
      </w:r>
    </w:p>
    <w:p>
      <w:pPr>
        <w:spacing w:after="4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color w:val="0000FF"/>
          <w:sz w:val="20"/>
          <w:szCs w:val="20"/>
        </w:rPr>
        <w:t xml:space="preserve">Stacking: the roll-out probability is added as a 30th feature to the full classifier.</w:t>
      </w:r>
    </w:p>
    <w:p>
      <w:pPr>
        <w:keepNext/>
        <w:spacing w:after="0" w:line="240"/>
        <w:ind w:firstLine="288"/>
        <w:jc w:val="both"/>
      </w:pPr>
      <w:r>
        <w:rPr>
          <w:rFonts w:ascii="Times New Roman" w:cs="Times New Roman" w:eastAsia="PMingLiU" w:hAnsi="Times New Roman"/>
          <w:color w:val="0000FF"/>
          <w:sz w:val="20"/>
          <w:szCs w:val="20"/>
        </w:rPr>
        <w:t xml:space="preserve">Training and evaluation:</w:t>
      </w:r>
    </w:p>
    <w:p>
      <w:pPr>
        <w:spacing w:after="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color w:val="0000FF"/>
          <w:sz w:val="20"/>
          <w:szCs w:val="20"/>
        </w:rPr>
        <w:t xml:space="preserve">Model: LightGBM [13] binary classifier, 63 leaves, learning rate 0.05, 80% feature and row subsampling, L2 = 1, trained on a 40% random subsample of the training slots with early stopping on the last three training weeks; one model per horizon and feature set (inventory-only, full).</w:t>
      </w:r>
    </w:p>
    <w:p>
      <w:pPr>
        <w:spacing w:after="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color w:val="0000FF"/>
          <w:sz w:val="20"/>
          <w:szCs w:val="20"/>
        </w:rPr>
        <w:t xml:space="preserve">Baselines: persistence (</w:t>
      </w:r>
      <w:r>
        <w:rPr>
          <w:rFonts w:ascii="Times New Roman" w:cs="Times New Roman" w:eastAsia="PMingLiU" w:hAnsi="Times New Roman"/>
          <w:i/>
          <w:iCs/>
          <w:color w:val="0000FF"/>
          <w:sz w:val="20"/>
          <w:szCs w:val="20"/>
        </w:rPr>
        <w:t xml:space="preserve">p</w:t>
      </w:r>
      <w:r>
        <w:rPr>
          <w:rFonts w:ascii="Times New Roman" w:cs="Times New Roman" w:eastAsia="PMingLiU" w:hAnsi="Times New Roman"/>
          <w:color w:val="0000FF"/>
          <w:sz w:val="20"/>
          <w:szCs w:val="20"/>
        </w:rPr>
        <w:t xml:space="preserve"> = 1 if the station is empty now), the seasonal mean of the label per station, day type and slot, and a logistic regression on the inventory-only features (standardized, with one-hot hour of day and day of week) as a linear reference.</w:t>
      </w:r>
    </w:p>
    <w:p>
      <w:pPr>
        <w:spacing w:after="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color w:val="0000FF"/>
          <w:sz w:val="20"/>
          <w:szCs w:val="20"/>
        </w:rPr>
        <w:t xml:space="preserve">Metrics: Brier score = mean (</w:t>
      </w:r>
      <w:r>
        <w:rPr>
          <w:rFonts w:ascii="Times New Roman" w:cs="Times New Roman" w:eastAsia="PMingLiU" w:hAnsi="Times New Roman"/>
          <w:i/>
          <w:iCs/>
          <w:color w:val="0000FF"/>
          <w:sz w:val="20"/>
          <w:szCs w:val="20"/>
        </w:rPr>
        <w:t xml:space="preserve">p</w:t>
      </w:r>
      <w:r>
        <w:rPr>
          <w:rFonts w:ascii="Times New Roman" w:cs="Times New Roman" w:eastAsia="PMingLiU" w:hAnsi="Times New Roman"/>
          <w:color w:val="0000FF"/>
          <w:sz w:val="20"/>
          <w:szCs w:val="20"/>
        </w:rPr>
        <w:t xml:space="preserve"> − </w:t>
      </w:r>
      <w:r>
        <w:rPr>
          <w:rFonts w:ascii="Times New Roman" w:cs="Times New Roman" w:eastAsia="PMingLiU" w:hAnsi="Times New Roman"/>
          <w:i/>
          <w:iCs/>
          <w:color w:val="0000FF"/>
          <w:sz w:val="20"/>
          <w:szCs w:val="20"/>
        </w:rPr>
        <w:t xml:space="preserve">y</w:t>
      </w:r>
      <w:r>
        <w:rPr>
          <w:rFonts w:ascii="Times New Roman" w:cs="Times New Roman" w:eastAsia="PMingLiU" w:hAnsi="Times New Roman"/>
          <w:color w:val="0000FF"/>
          <w:sz w:val="20"/>
          <w:szCs w:val="20"/>
        </w:rPr>
        <w:t xml:space="preserve">)² [15]; AUC; expected calibration error ECE = Σ</w:t>
      </w:r>
      <w:r>
        <w:rPr>
          <w:rFonts w:ascii="Times New Roman" w:cs="Times New Roman" w:eastAsia="PMingLiU" w:hAnsi="Times New Roman"/>
          <w:color w:val="0000FF"/>
          <w:sz w:val="20"/>
          <w:szCs w:val="20"/>
          <w:vertAlign w:val="subscript"/>
        </w:rPr>
        <w:t xml:space="preserve">b</w:t>
      </w:r>
      <w:r>
        <w:rPr>
          <w:rFonts w:ascii="Times New Roman" w:cs="Times New Roman" w:eastAsia="PMingLiU" w:hAnsi="Times New Roman"/>
          <w:color w:val="0000FF"/>
          <w:sz w:val="20"/>
          <w:szCs w:val="20"/>
        </w:rPr>
        <w:t xml:space="preserve"> (</w:t>
      </w:r>
      <w:r>
        <w:rPr>
          <w:rFonts w:ascii="Times New Roman" w:cs="Times New Roman" w:eastAsia="PMingLiU" w:hAnsi="Times New Roman"/>
          <w:i/>
          <w:iCs/>
          <w:color w:val="0000FF"/>
          <w:sz w:val="20"/>
          <w:szCs w:val="20"/>
        </w:rPr>
        <w:t xml:space="preserve">n</w:t>
      </w:r>
      <w:r>
        <w:rPr>
          <w:rFonts w:ascii="Times New Roman" w:cs="Times New Roman" w:eastAsia="PMingLiU" w:hAnsi="Times New Roman"/>
          <w:color w:val="0000FF"/>
          <w:sz w:val="20"/>
          <w:szCs w:val="20"/>
          <w:vertAlign w:val="subscript"/>
        </w:rPr>
        <w:t xml:space="preserve">b</w:t>
      </w:r>
      <w:r>
        <w:rPr>
          <w:rFonts w:ascii="Times New Roman" w:cs="Times New Roman" w:eastAsia="PMingLiU" w:hAnsi="Times New Roman"/>
          <w:color w:val="0000FF"/>
          <w:sz w:val="20"/>
          <w:szCs w:val="20"/>
        </w:rPr>
        <w:t xml:space="preserve">/</w:t>
      </w:r>
      <w:r>
        <w:rPr>
          <w:rFonts w:ascii="Times New Roman" w:cs="Times New Roman" w:eastAsia="PMingLiU" w:hAnsi="Times New Roman"/>
          <w:i/>
          <w:iCs/>
          <w:color w:val="0000FF"/>
          <w:sz w:val="20"/>
          <w:szCs w:val="20"/>
        </w:rPr>
        <w:t xml:space="preserve">N</w:t>
      </w:r>
      <w:r>
        <w:rPr>
          <w:rFonts w:ascii="Times New Roman" w:cs="Times New Roman" w:eastAsia="PMingLiU" w:hAnsi="Times New Roman"/>
          <w:color w:val="0000FF"/>
          <w:sz w:val="20"/>
          <w:szCs w:val="20"/>
        </w:rPr>
        <w:t xml:space="preserve">) |mean </w:t>
      </w:r>
      <w:r>
        <w:rPr>
          <w:rFonts w:ascii="Times New Roman" w:cs="Times New Roman" w:eastAsia="PMingLiU" w:hAnsi="Times New Roman"/>
          <w:i/>
          <w:iCs/>
          <w:color w:val="0000FF"/>
          <w:sz w:val="20"/>
          <w:szCs w:val="20"/>
        </w:rPr>
        <w:t xml:space="preserve">y</w:t>
      </w:r>
      <w:r>
        <w:rPr>
          <w:rFonts w:ascii="Times New Roman" w:cs="Times New Roman" w:eastAsia="PMingLiU" w:hAnsi="Times New Roman"/>
          <w:color w:val="0000FF"/>
          <w:sz w:val="20"/>
          <w:szCs w:val="20"/>
          <w:vertAlign w:val="subscript"/>
        </w:rPr>
        <w:t xml:space="preserve">b</w:t>
      </w:r>
      <w:r>
        <w:rPr>
          <w:rFonts w:ascii="Times New Roman" w:cs="Times New Roman" w:eastAsia="PMingLiU" w:hAnsi="Times New Roman"/>
          <w:color w:val="0000FF"/>
          <w:sz w:val="20"/>
          <w:szCs w:val="20"/>
        </w:rPr>
        <w:t xml:space="preserve"> − mean </w:t>
      </w:r>
      <w:r>
        <w:rPr>
          <w:rFonts w:ascii="Times New Roman" w:cs="Times New Roman" w:eastAsia="PMingLiU" w:hAnsi="Times New Roman"/>
          <w:i/>
          <w:iCs/>
          <w:color w:val="0000FF"/>
          <w:sz w:val="20"/>
          <w:szCs w:val="20"/>
        </w:rPr>
        <w:t xml:space="preserve">p</w:t>
      </w:r>
      <w:r>
        <w:rPr>
          <w:rFonts w:ascii="Times New Roman" w:cs="Times New Roman" w:eastAsia="PMingLiU" w:hAnsi="Times New Roman"/>
          <w:color w:val="0000FF"/>
          <w:sz w:val="20"/>
          <w:szCs w:val="20"/>
          <w:vertAlign w:val="subscript"/>
        </w:rPr>
        <w:t xml:space="preserve">b</w:t>
      </w:r>
      <w:r>
        <w:rPr>
          <w:rFonts w:ascii="Times New Roman" w:cs="Times New Roman" w:eastAsia="PMingLiU" w:hAnsi="Times New Roman"/>
          <w:color w:val="0000FF"/>
          <w:sz w:val="20"/>
          <w:szCs w:val="20"/>
        </w:rPr>
        <w:t xml:space="preserve">| over ten equal-width probability bins [14]. Reliability curves are reported because the planner multiplies </w:t>
      </w:r>
      <w:r>
        <w:rPr>
          <w:rFonts w:ascii="Times New Roman" w:cs="Times New Roman" w:eastAsia="PMingLiU" w:hAnsi="Times New Roman"/>
          <w:i/>
          <w:iCs/>
          <w:color w:val="0000FF"/>
          <w:sz w:val="20"/>
          <w:szCs w:val="20"/>
        </w:rPr>
        <w:t xml:space="preserve">p</w:t>
      </w:r>
      <w:r>
        <w:rPr>
          <w:rFonts w:ascii="Times New Roman" w:cs="Times New Roman" w:eastAsia="PMingLiU" w:hAnsi="Times New Roman"/>
          <w:color w:val="0000FF"/>
          <w:sz w:val="20"/>
          <w:szCs w:val="20"/>
        </w:rPr>
        <w:t xml:space="preserve"> by demand.</w:t>
      </w:r>
    </w:p>
    <w:p>
      <w:pPr>
        <w:spacing w:after="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color w:val="0000FF"/>
          <w:sz w:val="20"/>
          <w:szCs w:val="20"/>
        </w:rPr>
        <w:t xml:space="preserve">Uncertainty: 95% intervals from a block bootstrap [22] over test days (NTU) or station-days (NSYSU, six test days), 250 resamples, with the same draws for every model so that differences are paired; the simulator’s 28 days are resampled 1,000 times for paired policy differences.</w:t>
      </w:r>
    </w:p>
    <w:p>
      <w:pPr>
        <w:spacing w:after="4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color w:val="0000FF"/>
          <w:sz w:val="20"/>
          <w:szCs w:val="20"/>
        </w:rPr>
        <w:t xml:space="preserve">Ablation: the same model without group B, to measure what the explicit timetable adds beyond hour of day.</w:t>
      </w:r>
    </w:p>
    <w:p>
      <w:pPr>
        <w:keepNext/>
        <w:spacing w:after="30" w:before="90" w:line="240"/>
      </w:pPr>
      <w:r>
        <w:rPr>
          <w:rFonts w:ascii="Times New Roman" w:cs="Times New Roman" w:eastAsia="PMingLiU" w:hAnsi="Times New Roman"/>
          <w:b/>
          <w:bCs/>
          <w:color w:val="0000FF"/>
          <w:sz w:val="22"/>
          <w:szCs w:val="22"/>
        </w:rPr>
        <w:t xml:space="preserve">2.5. Transfer to NSYSU</w:t>
      </w:r>
    </w:p>
    <w:p>
      <w:pPr>
        <w:spacing w:after="0" w:line="240"/>
        <w:ind w:firstLine="288"/>
        <w:jc w:val="both"/>
      </w:pPr>
      <w:r>
        <w:rPr>
          <w:rFonts w:ascii="Times New Roman" w:cs="Times New Roman" w:eastAsia="PMingLiU" w:hAnsi="Times New Roman"/>
          <w:color w:val="0000FF"/>
          <w:sz w:val="20"/>
          <w:szCs w:val="20"/>
        </w:rPr>
        <w:t xml:space="preserve">Kaohsiung publishes no trip data, so only the inventory-only variant can run at NSYSU. The NSYSU panel is built from the logger with NSYSU bells and calendar and the same feature code is applied (transfer_nsysu.py). Five models are compared on six held-out days (10–15 Oct): persistence; a seasonal baseline fitted on the six training days (2–7 Oct); the NTU inventory-only model applied zero-shot; the same model fine-tuned by continuing boosting on the NSYSU training days (learning rate 0.02, early stopping on 8–9 Oct); and a model trained on NSYSU days only. Results are reported for all 309 stations, the 19 stations of the campus–KRT corridor and the 8 campus stations.</w:t>
      </w:r>
    </w:p>
    <w:p>
      <w:pPr>
        <w:keepNext/>
        <w:spacing w:after="30" w:before="90" w:line="240"/>
      </w:pPr>
      <w:r>
        <w:rPr>
          <w:rFonts w:ascii="Times New Roman" w:cs="Times New Roman" w:eastAsia="PMingLiU" w:hAnsi="Times New Roman"/>
          <w:b/>
          <w:bCs/>
          <w:color w:val="0000FF"/>
          <w:sz w:val="22"/>
          <w:szCs w:val="22"/>
        </w:rPr>
        <w:t xml:space="preserve">2.6.</w:t>
      </w:r>
      <w:r>
        <w:rPr>
          <w:rFonts w:ascii="Times New Roman" w:cs="Times New Roman" w:eastAsia="PMingLiU" w:hAnsi="Times New Roman"/>
          <w:b/>
          <w:bCs/>
          <w:sz w:val="22"/>
          <w:szCs w:val="22"/>
        </w:rPr>
        <w:t xml:space="preserve"> Pre-emptive planner and </w:t>
      </w:r>
      <w:r>
        <w:rPr>
          <w:rFonts w:ascii="Times New Roman" w:cs="Times New Roman" w:eastAsia="PMingLiU" w:hAnsi="Times New Roman"/>
          <w:b/>
          <w:bCs/>
          <w:color w:val="0000FF"/>
          <w:sz w:val="22"/>
          <w:szCs w:val="22"/>
        </w:rPr>
        <w:t xml:space="preserve">replay simulator</w:t>
      </w:r>
    </w:p>
    <w:p>
      <w:pPr>
        <w:spacing w:after="0" w:line="240"/>
        <w:ind w:firstLine="288"/>
        <w:jc w:val="both"/>
      </w:pPr>
      <w:r>
        <w:rPr>
          <w:rFonts w:ascii="Times New Roman" w:cs="Times New Roman" w:eastAsia="PMingLiU" w:hAnsi="Times New Roman"/>
          <w:sz w:val="20"/>
          <w:szCs w:val="20"/>
        </w:rPr>
        <w:t xml:space="preserve">State: truck position and load, station stocks and predicted rates; actions: (station, ±</w:t>
      </w:r>
      <w:r>
        <w:rPr>
          <w:rFonts w:ascii="Times New Roman" w:cs="Times New Roman" w:eastAsia="PMingLiU" w:hAnsi="Times New Roman"/>
          <w:i/>
          <w:iCs/>
          <w:sz w:val="20"/>
          <w:szCs w:val="20"/>
        </w:rPr>
        <w:t xml:space="preserve">k</w:t>
      </w:r>
      <w:r>
        <w:rPr>
          <w:rFonts w:ascii="Times New Roman" w:cs="Times New Roman" w:eastAsia="PMingLiU" w:hAnsi="Times New Roman"/>
          <w:sz w:val="20"/>
          <w:szCs w:val="20"/>
        </w:rPr>
        <w:t xml:space="preserve"> bikes); objective </w:t>
      </w:r>
      <w:r>
        <w:rPr>
          <w:rFonts w:ascii="Times New Roman" w:cs="Times New Roman" w:eastAsia="PMingLiU" w:hAnsi="Times New Roman"/>
          <w:i/>
          <w:iCs/>
          <w:sz w:val="20"/>
          <w:szCs w:val="20"/>
        </w:rPr>
        <w:t xml:space="preserve">J</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π</w:t>
      </w:r>
      <w:r>
        <w:rPr>
          <w:rFonts w:ascii="Times New Roman" w:cs="Times New Roman" w:eastAsia="PMingLiU" w:hAnsi="Times New Roman"/>
          <w:sz w:val="20"/>
          <w:szCs w:val="20"/>
        </w:rPr>
        <w:t xml:space="preserve">) = Σ</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E[max(0, </w:t>
      </w:r>
      <w:r>
        <w:rPr>
          <w:rFonts w:ascii="Times New Roman" w:cs="Times New Roman" w:eastAsia="PMingLiU" w:hAnsi="Times New Roman"/>
          <w:i/>
          <w:iCs/>
          <w:sz w:val="20"/>
          <w:szCs w:val="20"/>
        </w:rPr>
        <w:t xml:space="preserve">D</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 </w:t>
      </w:r>
      <w:r>
        <w:rPr>
          <w:rFonts w:ascii="Times New Roman" w:cs="Times New Roman" w:eastAsia="PMingLiU" w:hAnsi="Times New Roman"/>
          <w:i/>
          <w:iCs/>
          <w:sz w:val="20"/>
          <w:szCs w:val="20"/>
        </w:rPr>
        <w:t xml:space="preserve">s</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 </w:t>
      </w:r>
      <w:r>
        <w:rPr>
          <w:rFonts w:ascii="Times New Roman" w:cs="Times New Roman" w:eastAsia="PMingLiU" w:hAnsi="Times New Roman"/>
          <w:i/>
          <w:iCs/>
          <w:sz w:val="20"/>
          <w:szCs w:val="20"/>
        </w:rPr>
        <w:t xml:space="preserve">β</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T</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π</w:t>
      </w:r>
      <w:r>
        <w:rPr>
          <w:rFonts w:ascii="Times New Roman" w:cs="Times New Roman" w:eastAsia="PMingLiU" w:hAnsi="Times New Roman"/>
          <w:sz w:val="20"/>
          <w:szCs w:val="20"/>
        </w:rPr>
        <w:t xml:space="preserve">), with </w:t>
      </w:r>
      <w:r>
        <w:rPr>
          <w:rFonts w:ascii="Times New Roman" w:cs="Times New Roman" w:eastAsia="PMingLiU" w:hAnsi="Times New Roman"/>
          <w:i/>
          <w:iCs/>
          <w:sz w:val="20"/>
          <w:szCs w:val="20"/>
        </w:rPr>
        <w:t xml:space="preserve">D</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the predicted demand. Every 10 minutes we rank stations by expected unmet rentals, build a greedy surplus-to-deficit route under capacity </w:t>
      </w:r>
      <w:r>
        <w:rPr>
          <w:rFonts w:ascii="Times New Roman" w:cs="Times New Roman" w:eastAsia="PMingLiU" w:hAnsi="Times New Roman"/>
          <w:i/>
          <w:iCs/>
          <w:sz w:val="20"/>
          <w:szCs w:val="20"/>
        </w:rPr>
        <w:t xml:space="preserve">Q</w:t>
      </w:r>
      <w:r>
        <w:rPr>
          <w:rFonts w:ascii="Times New Roman" w:cs="Times New Roman" w:eastAsia="PMingLiU" w:hAnsi="Times New Roman"/>
          <w:sz w:val="20"/>
          <w:szCs w:val="20"/>
        </w:rPr>
        <w:t xml:space="preserve"> and the bell deadline, and improve it by 2-opt local search and simulated annealing. A discrete-event replay simulator consumes real held-out trips (Apr–Jun 2025): a rental is served only if stock &gt; 0, otherwise it counts as unmet, while the truck follows the policy under test. We compare none, reactive (after an observed stockout), predictive-point and predictive-probabilistic (ours), plus the inferred operator moves, which must first reproduce observed inventories (</w:t>
      </w:r>
      <w:r>
        <w:rPr>
          <w:rFonts w:ascii="Times New Roman" w:cs="Times New Roman" w:eastAsia="PMingLiU" w:hAnsi="Times New Roman"/>
          <w:i/>
          <w:iCs/>
          <w:sz w:val="20"/>
          <w:szCs w:val="20"/>
        </w:rPr>
        <w:t xml:space="preserve">R</w:t>
      </w:r>
      <w:r>
        <w:rPr>
          <w:rFonts w:ascii="Times New Roman" w:cs="Times New Roman" w:eastAsia="PMingLiU" w:hAnsi="Times New Roman"/>
          <w:sz w:val="20"/>
          <w:szCs w:val="20"/>
          <w:vertAlign w:val="superscript"/>
        </w:rPr>
        <w:t xml:space="preserve">2</w:t>
      </w:r>
      <w:r>
        <w:rPr>
          <w:rFonts w:ascii="Times New Roman" w:cs="Times New Roman" w:eastAsia="PMingLiU" w:hAnsi="Times New Roman"/>
          <w:sz w:val="20"/>
          <w:szCs w:val="20"/>
        </w:rPr>
        <w:t xml:space="preserve"> &gt; 0.8). Metrics: unmet rentals, empty station-minutes, truck-km.</w:t>
      </w:r>
    </w:p>
    <w:p>
      <w:pPr>
        <w:spacing w:after="0" w:line="240"/>
        <w:ind w:firstLine="288"/>
        <w:jc w:val="both"/>
      </w:pPr>
      <w:r>
        <w:rPr>
          <w:rFonts w:ascii="Times New Roman" w:cs="Times New Roman" w:eastAsia="PMingLiU" w:hAnsi="Times New Roman"/>
          <w:color w:val="0000FF"/>
          <w:sz w:val="20"/>
          <w:szCs w:val="20"/>
        </w:rPr>
        <w:t xml:space="preserve">The simulator, the greedy step and the four policy comparisons are implemented; the 2-opt / simulated-annealing improvement is not yet, so every policy below uses the greedy step alone. The operator-move check passed with R² = 0.984 (Sec. 3.3).</w:t>
      </w:r>
    </w:p>
    <w:p>
      <w:pPr>
        <w:keepNext/>
        <w:spacing w:after="20" w:before="60" w:line="240"/>
      </w:pPr>
      <w:r>
        <w:rPr>
          <w:rFonts w:ascii="Times New Roman" w:cs="Times New Roman" w:eastAsia="PMingLiU" w:hAnsi="Times New Roman"/>
          <w:b/>
          <w:bCs/>
          <w:i/>
          <w:iCs/>
          <w:color w:val="0000FF"/>
          <w:sz w:val="20"/>
          <w:szCs w:val="20"/>
        </w:rPr>
        <w:t xml:space="preserve">2.6.1. Replay simulator (replay_sim.py)</w:t>
      </w:r>
    </w:p>
    <w:p>
      <w:pPr>
        <w:spacing w:after="0" w:line="240"/>
        <w:ind w:firstLine="288"/>
        <w:jc w:val="both"/>
      </w:pPr>
      <w:r>
        <w:rPr>
          <w:rFonts w:ascii="Times New Roman" w:cs="Times New Roman" w:eastAsia="PMingLiU" w:hAnsi="Times New Roman"/>
          <w:color w:val="0000FF"/>
          <w:sz w:val="20"/>
          <w:szCs w:val="20"/>
        </w:rPr>
        <w:t xml:space="preserve">Each day runs from 06:00 to 23:00 from the 06:00 snapshot. Recorded rentals at the 144 stations are placed uniformly at random within their recorded hour (seeded); a served rental generates the return of that ride after its recorded duration, an unserved one disappears, and rides from outside the area arrive as recorded. A full station redirects a return to the nearest station with a free dock. Trucks: </w:t>
      </w:r>
      <w:r>
        <w:rPr>
          <w:rFonts w:ascii="Times New Roman" w:cs="Times New Roman" w:eastAsia="PMingLiU" w:hAnsi="Times New Roman"/>
          <w:i/>
          <w:iCs/>
          <w:color w:val="0000FF"/>
          <w:sz w:val="20"/>
          <w:szCs w:val="20"/>
        </w:rPr>
        <w:t xml:space="preserve">K</w:t>
      </w:r>
      <w:r>
        <w:rPr>
          <w:rFonts w:ascii="Times New Roman" w:cs="Times New Roman" w:eastAsia="PMingLiU" w:hAnsi="Times New Roman"/>
          <w:color w:val="0000FF"/>
          <w:sz w:val="20"/>
          <w:szCs w:val="20"/>
        </w:rPr>
        <w:t xml:space="preserve"> ∈ {1, 3, 6}, capacity 20, 15 km/h on 1.3× straight-line distance, 3 min per stop and 6 s per bike. Outputs per day: unmet rentals, empty station-minutes (counted every 10 min), bikes moved, truck-km.</w:t>
      </w:r>
    </w:p>
    <w:p>
      <w:pPr>
        <w:keepNext/>
        <w:spacing w:after="20" w:before="60" w:line="240"/>
      </w:pPr>
      <w:r>
        <w:rPr>
          <w:rFonts w:ascii="Times New Roman" w:cs="Times New Roman" w:eastAsia="PMingLiU" w:hAnsi="Times New Roman"/>
          <w:b/>
          <w:bCs/>
          <w:i/>
          <w:iCs/>
          <w:color w:val="0000FF"/>
          <w:sz w:val="20"/>
          <w:szCs w:val="20"/>
        </w:rPr>
        <w:t xml:space="preserve">2.6.2. Greedy planner and the three policies</w:t>
      </w:r>
    </w:p>
    <w:p>
      <w:pPr>
        <w:keepNext/>
        <w:spacing w:after="0" w:line="240"/>
        <w:ind w:firstLine="288"/>
        <w:jc w:val="both"/>
      </w:pPr>
      <w:r>
        <w:rPr>
          <w:rFonts w:ascii="Times New Roman" w:cs="Times New Roman" w:eastAsia="PMingLiU" w:hAnsi="Times New Roman"/>
          <w:color w:val="0000FF"/>
          <w:sz w:val="20"/>
          <w:szCs w:val="20"/>
        </w:rPr>
        <w:t xml:space="preserve">Every 10 minutes each idle truck receives one move chosen by Algorithm 1. Candidate targets, their need and the weight v differ by policy:</w:t>
      </w:r>
    </w:p>
    <w:p>
      <w:pPr>
        <w:spacing w:after="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b/>
          <w:bCs/>
          <w:color w:val="0000FF"/>
          <w:sz w:val="20"/>
          <w:szCs w:val="20"/>
        </w:rPr>
        <w:t xml:space="preserve">reactive: </w:t>
      </w:r>
      <w:r>
        <w:rPr>
          <w:rFonts w:ascii="Times New Roman" w:cs="Times New Roman" w:eastAsia="PMingLiU" w:hAnsi="Times New Roman"/>
          <w:color w:val="0000FF"/>
          <w:sz w:val="20"/>
          <w:szCs w:val="20"/>
        </w:rPr>
        <w:t xml:space="preserve">targets are stations that are empty now; need = max(5, λ); </w:t>
      </w:r>
      <w:r>
        <w:rPr>
          <w:rFonts w:ascii="Times New Roman" w:cs="Times New Roman" w:eastAsia="PMingLiU" w:hAnsi="Times New Roman"/>
          <w:i/>
          <w:iCs/>
          <w:color w:val="0000FF"/>
          <w:sz w:val="20"/>
          <w:szCs w:val="20"/>
        </w:rPr>
        <w:t xml:space="preserve">v</w:t>
      </w:r>
      <w:r>
        <w:rPr>
          <w:rFonts w:ascii="Times New Roman" w:cs="Times New Roman" w:eastAsia="PMingLiU" w:hAnsi="Times New Roman"/>
          <w:color w:val="0000FF"/>
          <w:sz w:val="20"/>
          <w:szCs w:val="20"/>
        </w:rPr>
        <w:t xml:space="preserve"> = 1.</w:t>
      </w:r>
    </w:p>
    <w:p>
      <w:pPr>
        <w:spacing w:after="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b/>
          <w:bCs/>
          <w:color w:val="0000FF"/>
          <w:sz w:val="20"/>
          <w:szCs w:val="20"/>
        </w:rPr>
        <w:t xml:space="preserve">predictive-point: </w:t>
      </w:r>
      <w:r>
        <w:rPr>
          <w:rFonts w:ascii="Times New Roman" w:cs="Times New Roman" w:eastAsia="PMingLiU" w:hAnsi="Times New Roman"/>
          <w:color w:val="0000FF"/>
          <w:sz w:val="20"/>
          <w:szCs w:val="20"/>
        </w:rPr>
        <w:t xml:space="preserve">targets are stations whose next-hour demand exceeds stock, λ − </w:t>
      </w:r>
      <w:r>
        <w:rPr>
          <w:rFonts w:ascii="Times New Roman" w:cs="Times New Roman" w:eastAsia="PMingLiU" w:hAnsi="Times New Roman"/>
          <w:i/>
          <w:iCs/>
          <w:color w:val="0000FF"/>
          <w:sz w:val="20"/>
          <w:szCs w:val="20"/>
        </w:rPr>
        <w:t xml:space="preserve">s</w:t>
      </w:r>
      <w:r>
        <w:rPr>
          <w:rFonts w:ascii="Times New Roman" w:cs="Times New Roman" w:eastAsia="PMingLiU" w:hAnsi="Times New Roman"/>
          <w:color w:val="0000FF"/>
          <w:sz w:val="20"/>
          <w:szCs w:val="20"/>
        </w:rPr>
        <w:t xml:space="preserve"> ≥ 2; need = λ − </w:t>
      </w:r>
      <w:r>
        <w:rPr>
          <w:rFonts w:ascii="Times New Roman" w:cs="Times New Roman" w:eastAsia="PMingLiU" w:hAnsi="Times New Roman"/>
          <w:i/>
          <w:iCs/>
          <w:color w:val="0000FF"/>
          <w:sz w:val="20"/>
          <w:szCs w:val="20"/>
        </w:rPr>
        <w:t xml:space="preserve">s</w:t>
      </w:r>
      <w:r>
        <w:rPr>
          <w:rFonts w:ascii="Times New Roman" w:cs="Times New Roman" w:eastAsia="PMingLiU" w:hAnsi="Times New Roman"/>
          <w:color w:val="0000FF"/>
          <w:sz w:val="20"/>
          <w:szCs w:val="20"/>
        </w:rPr>
        <w:t xml:space="preserve"> + 2; </w:t>
      </w:r>
      <w:r>
        <w:rPr>
          <w:rFonts w:ascii="Times New Roman" w:cs="Times New Roman" w:eastAsia="PMingLiU" w:hAnsi="Times New Roman"/>
          <w:i/>
          <w:iCs/>
          <w:color w:val="0000FF"/>
          <w:sz w:val="20"/>
          <w:szCs w:val="20"/>
        </w:rPr>
        <w:t xml:space="preserve">v</w:t>
      </w:r>
      <w:r>
        <w:rPr>
          <w:rFonts w:ascii="Times New Roman" w:cs="Times New Roman" w:eastAsia="PMingLiU" w:hAnsi="Times New Roman"/>
          <w:color w:val="0000FF"/>
          <w:sz w:val="20"/>
          <w:szCs w:val="20"/>
        </w:rPr>
        <w:t xml:space="preserve"> = 1.</w:t>
      </w:r>
    </w:p>
    <w:p>
      <w:pPr>
        <w:spacing w:after="4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b/>
          <w:bCs/>
          <w:color w:val="0000FF"/>
          <w:sz w:val="20"/>
          <w:szCs w:val="20"/>
        </w:rPr>
        <w:t xml:space="preserve">predictive-probabilistic: </w:t>
      </w:r>
      <w:r>
        <w:rPr>
          <w:rFonts w:ascii="Times New Roman" w:cs="Times New Roman" w:eastAsia="PMingLiU" w:hAnsi="Times New Roman"/>
          <w:color w:val="0000FF"/>
          <w:sz w:val="20"/>
          <w:szCs w:val="20"/>
        </w:rPr>
        <w:t xml:space="preserve">targets are stations with </w:t>
      </w:r>
      <w:r>
        <w:rPr>
          <w:rFonts w:ascii="Times New Roman" w:cs="Times New Roman" w:eastAsia="PMingLiU" w:hAnsi="Times New Roman"/>
          <w:i/>
          <w:iCs/>
          <w:color w:val="0000FF"/>
          <w:sz w:val="20"/>
          <w:szCs w:val="20"/>
        </w:rPr>
        <w:t xml:space="preserve">p</w:t>
      </w:r>
      <w:r>
        <w:rPr>
          <w:rFonts w:ascii="Times New Roman" w:cs="Times New Roman" w:eastAsia="PMingLiU" w:hAnsi="Times New Roman"/>
          <w:color w:val="0000FF"/>
          <w:sz w:val="20"/>
          <w:szCs w:val="20"/>
          <w:vertAlign w:val="subscript"/>
        </w:rPr>
        <w:t xml:space="preserve">i</w:t>
      </w:r>
      <w:r>
        <w:rPr>
          <w:rFonts w:ascii="Times New Roman" w:cs="Times New Roman" w:eastAsia="PMingLiU" w:hAnsi="Times New Roman"/>
          <w:color w:val="0000FF"/>
          <w:sz w:val="20"/>
          <w:szCs w:val="20"/>
        </w:rPr>
        <w:t xml:space="preserve">(</w:t>
      </w:r>
      <w:r>
        <w:rPr>
          <w:rFonts w:ascii="Times New Roman" w:cs="Times New Roman" w:eastAsia="PMingLiU" w:hAnsi="Times New Roman"/>
          <w:i/>
          <w:iCs/>
          <w:color w:val="0000FF"/>
          <w:sz w:val="20"/>
          <w:szCs w:val="20"/>
        </w:rPr>
        <w:t xml:space="preserve">t</w:t>
      </w:r>
      <w:r>
        <w:rPr>
          <w:rFonts w:ascii="Times New Roman" w:cs="Times New Roman" w:eastAsia="PMingLiU" w:hAnsi="Times New Roman"/>
          <w:color w:val="0000FF"/>
          <w:sz w:val="20"/>
          <w:szCs w:val="20"/>
        </w:rPr>
        <w:t xml:space="preserve">, 60) ≥ 0.3, where </w:t>
      </w:r>
      <w:r>
        <w:rPr>
          <w:rFonts w:ascii="Times New Roman" w:cs="Times New Roman" w:eastAsia="PMingLiU" w:hAnsi="Times New Roman"/>
          <w:i/>
          <w:iCs/>
          <w:color w:val="0000FF"/>
          <w:sz w:val="20"/>
          <w:szCs w:val="20"/>
        </w:rPr>
        <w:t xml:space="preserve">p</w:t>
      </w:r>
      <w:r>
        <w:rPr>
          <w:rFonts w:ascii="Times New Roman" w:cs="Times New Roman" w:eastAsia="PMingLiU" w:hAnsi="Times New Roman"/>
          <w:color w:val="0000FF"/>
          <w:sz w:val="20"/>
          <w:szCs w:val="20"/>
        </w:rPr>
        <w:t xml:space="preserve"> is computed on the simulated inventory by the inventory-only predictor at every decision; need = max(5, λ − </w:t>
      </w:r>
      <w:r>
        <w:rPr>
          <w:rFonts w:ascii="Times New Roman" w:cs="Times New Roman" w:eastAsia="PMingLiU" w:hAnsi="Times New Roman"/>
          <w:i/>
          <w:iCs/>
          <w:color w:val="0000FF"/>
          <w:sz w:val="20"/>
          <w:szCs w:val="20"/>
        </w:rPr>
        <w:t xml:space="preserve">s</w:t>
      </w:r>
      <w:r>
        <w:rPr>
          <w:rFonts w:ascii="Times New Roman" w:cs="Times New Roman" w:eastAsia="PMingLiU" w:hAnsi="Times New Roman"/>
          <w:color w:val="0000FF"/>
          <w:sz w:val="20"/>
          <w:szCs w:val="20"/>
        </w:rPr>
        <w:t xml:space="preserve"> + 3); </w:t>
      </w:r>
      <w:r>
        <w:rPr>
          <w:rFonts w:ascii="Times New Roman" w:cs="Times New Roman" w:eastAsia="PMingLiU" w:hAnsi="Times New Roman"/>
          <w:i/>
          <w:iCs/>
          <w:color w:val="0000FF"/>
          <w:sz w:val="20"/>
          <w:szCs w:val="20"/>
        </w:rPr>
        <w:t xml:space="preserve">v</w:t>
      </w:r>
      <w:r>
        <w:rPr>
          <w:rFonts w:ascii="Times New Roman" w:cs="Times New Roman" w:eastAsia="PMingLiU" w:hAnsi="Times New Roman"/>
          <w:color w:val="0000FF"/>
          <w:sz w:val="20"/>
          <w:szCs w:val="20"/>
        </w:rPr>
        <w:t xml:space="preserve"> = </w:t>
      </w:r>
      <w:r>
        <w:rPr>
          <w:rFonts w:ascii="Times New Roman" w:cs="Times New Roman" w:eastAsia="PMingLiU" w:hAnsi="Times New Roman"/>
          <w:i/>
          <w:iCs/>
          <w:color w:val="0000FF"/>
          <w:sz w:val="20"/>
          <w:szCs w:val="20"/>
        </w:rPr>
        <w:t xml:space="preserve">p</w:t>
      </w:r>
      <w:r>
        <w:rPr>
          <w:rFonts w:ascii="Times New Roman" w:cs="Times New Roman" w:eastAsia="PMingLiU" w:hAnsi="Times New Roman"/>
          <w:color w:val="0000FF"/>
          <w:sz w:val="20"/>
          <w:szCs w:val="20"/>
          <w:vertAlign w:val="subscript"/>
        </w:rPr>
        <w:t xml:space="preserve">i</w:t>
      </w:r>
      <w:r>
        <w:rPr>
          <w:rFonts w:ascii="Times New Roman" w:cs="Times New Roman" w:eastAsia="PMingLiU" w:hAnsi="Times New Roman"/>
          <w:color w:val="0000FF"/>
          <w:sz w:val="20"/>
          <w:szCs w:val="20"/>
        </w:rPr>
        <w:t xml:space="preserve">; stations with </w:t>
      </w:r>
      <w:r>
        <w:rPr>
          <w:rFonts w:ascii="Times New Roman" w:cs="Times New Roman" w:eastAsia="PMingLiU" w:hAnsi="Times New Roman"/>
          <w:i/>
          <w:iCs/>
          <w:color w:val="0000FF"/>
          <w:sz w:val="20"/>
          <w:szCs w:val="20"/>
        </w:rPr>
        <w:t xml:space="preserve">p</w:t>
      </w:r>
      <w:r>
        <w:rPr>
          <w:rFonts w:ascii="Times New Roman" w:cs="Times New Roman" w:eastAsia="PMingLiU" w:hAnsi="Times New Roman"/>
          <w:color w:val="0000FF"/>
          <w:sz w:val="20"/>
          <w:szCs w:val="20"/>
        </w:rPr>
        <w:t xml:space="preserve"> &gt; 0.2 are never used as sources.</w:t>
      </w:r>
    </w:p>
    <w:tbl>
      <w:tblPr>
        <w:tblW w:type="dxa" w:w="4677"/>
        <w:tblBorders>
          <w:top w:val="single" w:color="7F9CCB" w:sz="4"/>
          <w:left w:val="single" w:color="7F9CCB" w:sz="4"/>
          <w:bottom w:val="single" w:color="7F9CCB" w:sz="4"/>
          <w:right w:val="single" w:color="7F9CCB" w:sz="4"/>
          <w:insideH w:val="single" w:color="7F9CCB" w:sz="4"/>
          <w:insideV w:val="single" w:color="7F9CCB" w:sz="4"/>
        </w:tblBorders>
      </w:tblPr>
      <w:tblGrid>
        <w:gridCol w:w="4677"/>
      </w:tblGrid>
      <w:tr>
        <w:trPr>
          <w:cantSplit/>
        </w:trPr>
        <w:tc>
          <w:tcPr>
            <w:tcW w:type="dxa" w:w="4677"/>
            <w:shd w:fill="F4F7FD" w:color="auto" w:val="clear"/>
            <w:tcMar>
              <w:top w:type="dxa" w:w="60"/>
              <w:left w:type="dxa" w:w="90"/>
              <w:bottom w:type="dxa" w:w="60"/>
              <w:right w:type="dxa" w:w="90"/>
            </w:tcMar>
          </w:tcPr>
          <w:p>
            <w:pPr>
              <w:keepLines/>
              <w:spacing w:after="0" w:line="220"/>
              <w:ind w:left="0"/>
              <w:jc w:val="left"/>
            </w:pPr>
            <w:r>
              <w:rPr>
                <w:rFonts w:ascii="Times New Roman" w:cs="Times New Roman" w:eastAsia="PMingLiU" w:hAnsi="Times New Roman"/>
                <w:b/>
                <w:bCs/>
                <w:color w:val="0000FF"/>
                <w:sz w:val="16"/>
                <w:szCs w:val="16"/>
              </w:rPr>
              <w:t xml:space="preserve">Algorithm 1  Greedy move selection for one idle truck</w:t>
            </w:r>
          </w:p>
          <w:p>
            <w:pPr>
              <w:keepLines/>
              <w:spacing w:after="0" w:line="220"/>
              <w:ind w:left="0"/>
              <w:jc w:val="left"/>
            </w:pPr>
            <w:r>
              <w:rPr>
                <w:rFonts w:ascii="Courier New" w:cs="Courier New" w:eastAsia="PMingLiU" w:hAnsi="Courier New"/>
                <w:color w:val="0000FF"/>
                <w:sz w:val="14"/>
                <w:szCs w:val="14"/>
              </w:rPr>
              <w:t xml:space="preserve">input: stocks s, hourly demand λ, position, need, v</w:t>
            </w:r>
          </w:p>
          <w:p>
            <w:pPr>
              <w:keepLines/>
              <w:spacing w:after="0" w:line="220"/>
              <w:ind w:left="0"/>
              <w:jc w:val="left"/>
            </w:pPr>
            <w:r>
              <w:rPr>
                <w:rFonts w:ascii="Courier New" w:cs="Courier New" w:eastAsia="PMingLiU" w:hAnsi="Courier New"/>
                <w:color w:val="0000FF"/>
                <w:sz w:val="14"/>
                <w:szCs w:val="14"/>
              </w:rPr>
              <w:t xml:space="preserve">surplus_j = s_j − λ_j − 2</w:t>
            </w:r>
          </w:p>
          <w:p>
            <w:pPr>
              <w:keepLines/>
              <w:spacing w:after="0" w:line="220"/>
              <w:ind w:left="0"/>
              <w:jc w:val="left"/>
            </w:pPr>
            <w:r>
              <w:rPr>
                <w:rFonts w:ascii="Courier New" w:cs="Courier New" w:eastAsia="PMingLiU" w:hAnsi="Courier New"/>
                <w:color w:val="0000FF"/>
                <w:sz w:val="14"/>
                <w:szCs w:val="14"/>
              </w:rPr>
              <w:t xml:space="preserve">S = {j : surplus_j ≥ 3, unclaimed}</w:t>
            </w:r>
          </w:p>
          <w:p>
            <w:pPr>
              <w:keepLines/>
              <w:spacing w:after="0" w:line="220"/>
              <w:ind w:left="0"/>
              <w:jc w:val="left"/>
            </w:pPr>
            <w:r>
              <w:rPr>
                <w:rFonts w:ascii="Courier New" w:cs="Courier New" w:eastAsia="PMingLiU" w:hAnsi="Courier New"/>
                <w:color w:val="0000FF"/>
                <w:sz w:val="14"/>
                <w:szCs w:val="14"/>
              </w:rPr>
              <w:t xml:space="preserve">T = {i : need_i &gt; 0, unclaimed}, 8 best by v·need</w:t>
            </w:r>
          </w:p>
          <w:p>
            <w:pPr>
              <w:keepLines/>
              <w:spacing w:after="0" w:line="220"/>
              <w:ind w:left="0"/>
              <w:jc w:val="left"/>
            </w:pPr>
            <w:r>
              <w:rPr>
                <w:rFonts w:ascii="Courier New" w:cs="Courier New" w:eastAsia="PMingLiU" w:hAnsi="Courier New"/>
                <w:color w:val="0000FF"/>
                <w:sz w:val="14"/>
                <w:szCs w:val="14"/>
              </w:rPr>
              <w:t xml:space="preserve">for i in T, j in S:</w:t>
            </w:r>
          </w:p>
          <w:p>
            <w:pPr>
              <w:keepLines/>
              <w:spacing w:after="0" w:line="220"/>
              <w:ind w:left="0"/>
              <w:jc w:val="left"/>
            </w:pPr>
            <w:r>
              <w:rPr>
                <w:rFonts w:ascii="Courier New" w:cs="Courier New" w:eastAsia="PMingLiU" w:hAnsi="Courier New"/>
                <w:color w:val="0000FF"/>
                <w:sz w:val="14"/>
                <w:szCs w:val="14"/>
              </w:rPr>
              <w:t xml:space="preserve">  k = min(Q, surplus_j, cap_i − s_i, need_i)</w:t>
            </w:r>
          </w:p>
          <w:p>
            <w:pPr>
              <w:keepLines/>
              <w:spacing w:after="0" w:line="220"/>
              <w:ind w:left="0"/>
              <w:jc w:val="left"/>
            </w:pPr>
            <w:r>
              <w:rPr>
                <w:rFonts w:ascii="Courier New" w:cs="Courier New" w:eastAsia="PMingLiU" w:hAnsi="Courier New"/>
                <w:color w:val="0000FF"/>
                <w:sz w:val="14"/>
                <w:szCs w:val="14"/>
              </w:rPr>
              <w:t xml:space="preserve">  if k &lt; 3: continue</w:t>
            </w:r>
          </w:p>
          <w:p>
            <w:pPr>
              <w:keepLines/>
              <w:spacing w:after="0" w:line="220"/>
              <w:ind w:left="0"/>
              <w:jc w:val="left"/>
            </w:pPr>
            <w:r>
              <w:rPr>
                <w:rFonts w:ascii="Courier New" w:cs="Courier New" w:eastAsia="PMingLiU" w:hAnsi="Courier New"/>
                <w:color w:val="0000FF"/>
                <w:sz w:val="14"/>
                <w:szCs w:val="14"/>
              </w:rPr>
              <w:t xml:space="preserve">  t = drive(pos→j→i) + 2·stop + k·handle</w:t>
            </w:r>
          </w:p>
          <w:p>
            <w:pPr>
              <w:keepLines/>
              <w:spacing w:after="0" w:line="220"/>
              <w:ind w:left="0"/>
              <w:jc w:val="left"/>
            </w:pPr>
            <w:r>
              <w:rPr>
                <w:rFonts w:ascii="Courier New" w:cs="Courier New" w:eastAsia="PMingLiU" w:hAnsi="Courier New"/>
                <w:color w:val="0000FF"/>
                <w:sz w:val="14"/>
                <w:szCs w:val="14"/>
              </w:rPr>
              <w:t xml:space="preserve">  score = v_i · min(k, max(λ_i, 1)) / t</w:t>
            </w:r>
          </w:p>
          <w:p>
            <w:pPr>
              <w:keepLines/>
              <w:spacing w:after="0" w:line="220"/>
              <w:ind w:left="0"/>
              <w:jc w:val="left"/>
            </w:pPr>
            <w:r>
              <w:rPr>
                <w:rFonts w:ascii="Courier New" w:cs="Courier New" w:eastAsia="PMingLiU" w:hAnsi="Courier New"/>
                <w:color w:val="0000FF"/>
                <w:sz w:val="14"/>
                <w:szCs w:val="14"/>
              </w:rPr>
              <w:t xml:space="preserve">return (i, j, k) with max score; claim i, j</w:t>
            </w:r>
          </w:p>
        </w:tc>
      </w:tr>
    </w:tbl>
    <w:p>
      <w:pPr>
        <w:spacing w:after="80" w:before="0" w:line="120"/>
      </w:pPr>
      <w:r>
        <w:rPr>
          <w:rFonts w:ascii="Times New Roman" w:cs="Times New Roman" w:eastAsia="PMingLiU" w:hAnsi="Times New Roman"/>
          <w:sz w:val="6"/>
          <w:szCs w:val="6"/>
        </w:rPr>
        <w:t xml:space="preserve"/>
      </w:r>
    </w:p>
    <w:p>
      <w:pPr>
        <w:spacing w:after="0" w:line="240"/>
        <w:ind w:firstLine="288"/>
        <w:jc w:val="both"/>
      </w:pPr>
      <w:r>
        <w:rPr>
          <w:rFonts w:ascii="Times New Roman" w:cs="Times New Roman" w:eastAsia="PMingLiU" w:hAnsi="Times New Roman"/>
          <w:color w:val="0000FF"/>
          <w:sz w:val="20"/>
          <w:szCs w:val="20"/>
        </w:rPr>
        <w:t xml:space="preserve">The operator reference injects the inferred hourly moves of Sec. 2.3 directly, without truck constraints. The route search with 2-opt and simulated annealing [16] is the next step; Algorithm 1 is its initial solution.</w:t>
      </w:r>
    </w:p>
    <w:p>
      <w:pPr>
        <w:keepNext/>
        <w:spacing w:after="30" w:before="90" w:line="240"/>
      </w:pPr>
      <w:r>
        <w:rPr>
          <w:rFonts w:ascii="Times New Roman" w:cs="Times New Roman" w:eastAsia="PMingLiU" w:hAnsi="Times New Roman"/>
          <w:b/>
          <w:bCs/>
          <w:color w:val="0000FF"/>
          <w:sz w:val="22"/>
          <w:szCs w:val="22"/>
        </w:rPr>
        <w:t xml:space="preserve">2.7. Live demo</w:t>
      </w:r>
    </w:p>
    <w:p>
      <w:pPr>
        <w:spacing w:after="0" w:line="240"/>
        <w:ind w:firstLine="288"/>
        <w:jc w:val="both"/>
      </w:pPr>
      <w:r>
        <w:rPr>
          <w:rFonts w:ascii="Times New Roman" w:cs="Times New Roman" w:eastAsia="PMingLiU" w:hAnsi="Times New Roman"/>
          <w:color w:val="0000FF"/>
          <w:sz w:val="20"/>
          <w:szCs w:val="20"/>
        </w:rPr>
        <w:t xml:space="preserve">The logger already writes latest.json, a compact snapshot of the 309 stations, on every run. The demo page will read it, compute the inventory-only features, show P(empty within 30 min) per station on a map and the next-bell truck plan of the planner, as mocked in Fig. 10.</w:t>
      </w:r>
    </w:p>
    <w:p>
      <w:pPr>
        <w:keepNext/>
        <w:spacing w:after="40" w:before="120" w:line="240"/>
      </w:pPr>
      <w:r>
        <w:rPr>
          <w:rFonts w:ascii="Times New Roman" w:cs="Times New Roman" w:eastAsia="PMingLiU" w:hAnsi="Times New Roman"/>
          <w:b/>
          <w:bCs/>
          <w:color w:val="0000FF"/>
          <w:sz w:val="24"/>
          <w:szCs w:val="24"/>
        </w:rPr>
        <w:t xml:space="preserve">3. Experiments</w:t>
      </w:r>
    </w:p>
    <w:p>
      <w:pPr>
        <w:keepNext/>
        <w:spacing w:after="30" w:before="90" w:line="240"/>
      </w:pPr>
      <w:r>
        <w:rPr>
          <w:rFonts w:ascii="Times New Roman" w:cs="Times New Roman" w:eastAsia="PMingLiU" w:hAnsi="Times New Roman"/>
          <w:b/>
          <w:bCs/>
          <w:color w:val="0000FF"/>
          <w:sz w:val="22"/>
          <w:szCs w:val="22"/>
        </w:rPr>
        <w:t xml:space="preserve">3.1. Datasets, splits and environment</w:t>
      </w:r>
    </w:p>
    <w:p>
      <w:pPr>
        <w:spacing w:after="0" w:line="240"/>
        <w:ind w:firstLine="288"/>
        <w:jc w:val="both"/>
      </w:pPr>
      <w:r>
        <w:rPr>
          <w:rFonts w:ascii="Times New Roman" w:cs="Times New Roman" w:eastAsia="PMingLiU" w:hAnsi="Times New Roman"/>
          <w:color w:val="0000FF"/>
          <w:sz w:val="20"/>
          <w:szCs w:val="20"/>
        </w:rPr>
        <w:t xml:space="preserve">Table 2 lists the data. NTU rows are split by time: training 1 Sep 2024–9 Mar 2025, validation 10–31 Mar 2025 (early stopping), test 1 Apr–22 Jun 2025 (1.22 M station-slots never seen by the model). NSYSU uses 2–7 Oct for training, 8–9 Oct for validation and 10–15 Oct for testing. The replay simulator uses the 28 in-semester weekdays of the test period with ≥ 95% snapshot coverage. On a 2-vCPU, 7 GB container (Python 3.11, LightGBM 4.7, scikit-learn 1.8) the feature table takes 22 s, the roll-out tables 16 s, the four 30/60-min GBMs 5 min, the horizon sweep with eight further GBMs 9 min, the bootstrap 6 min and one simulated day about 3 s.</w:t>
      </w:r>
    </w:p>
    <w:p>
      <w:pPr>
        <w:keepNext/>
        <w:keepLines/>
        <w:spacing w:after="50" w:before="100" w:line="220"/>
        <w:jc w:val="both"/>
      </w:pPr>
      <w:r>
        <w:rPr>
          <w:rFonts w:ascii="Times New Roman" w:cs="Times New Roman" w:eastAsia="PMingLiU" w:hAnsi="Times New Roman"/>
          <w:b/>
          <w:bCs/>
          <w:color w:val="0000FF"/>
          <w:sz w:val="17"/>
          <w:szCs w:val="17"/>
        </w:rPr>
        <w:t xml:space="preserve">Table 2. </w:t>
      </w:r>
      <w:r>
        <w:rPr>
          <w:rFonts w:ascii="Times New Roman" w:cs="Times New Roman" w:eastAsia="PMingLiU" w:hAnsi="Times New Roman"/>
          <w:color w:val="0000FF"/>
          <w:sz w:val="17"/>
          <w:szCs w:val="17"/>
        </w:rPr>
        <w:t xml:space="preserve">Data used in this report.</w:t>
      </w:r>
    </w:p>
    <w:tbl>
      <w:tblPr>
        <w:tblW w:type="dxa" w:w="4677"/>
        <w:tblBorders>
          <w:top w:val="single" w:color="999999" w:sz="4"/>
          <w:left w:val="none" w:color="FFFFFF" w:sz="0"/>
          <w:bottom w:val="single" w:color="999999" w:sz="4"/>
          <w:right w:val="none" w:color="FFFFFF" w:sz="0"/>
          <w:insideH w:val="single" w:color="BBBBBB" w:sz="2"/>
          <w:insideV w:val="none" w:color="FFFFFF" w:sz="0"/>
        </w:tblBorders>
      </w:tblPr>
      <w:tblGrid>
        <w:gridCol w:w="1500"/>
        <w:gridCol w:w="1877"/>
        <w:gridCol w:w="1300"/>
      </w:tblGrid>
      <w:tr>
        <w:trPr>
          <w:cantSplit/>
          <w:tblHeader/>
        </w:trPr>
        <w:tc>
          <w:tcPr>
            <w:tcW w:type="dxa" w:w="1500"/>
            <w:shd w:fill="EDEDED" w:color="auto" w:val="clear"/>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bCs/>
                <w:color w:val="0000FF"/>
                <w:sz w:val="15"/>
                <w:szCs w:val="15"/>
              </w:rPr>
              <w:t xml:space="preserve">Source</w:t>
            </w:r>
          </w:p>
        </w:tc>
        <w:tc>
          <w:tcPr>
            <w:tcW w:type="dxa" w:w="1877"/>
            <w:shd w:fill="EDEDED" w:color="auto" w:val="clear"/>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bCs/>
                <w:color w:val="0000FF"/>
                <w:sz w:val="15"/>
                <w:szCs w:val="15"/>
              </w:rPr>
              <w:t xml:space="preserve">Coverage / resolution</w:t>
            </w:r>
          </w:p>
        </w:tc>
        <w:tc>
          <w:tcPr>
            <w:tcW w:type="dxa" w:w="1300"/>
            <w:shd w:fill="EDEDED" w:color="auto" w:val="clear"/>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bCs/>
                <w:color w:val="0000FF"/>
                <w:sz w:val="15"/>
                <w:szCs w:val="15"/>
              </w:rPr>
              <w:t xml:space="preserve">Rows used</w:t>
            </w:r>
          </w:p>
        </w:tc>
      </w:tr>
      <w:tr>
        <w:trPr>
          <w:cantSplit/>
        </w:trPr>
        <w:tc>
          <w:tcPr>
            <w:tcW w:type="dxa" w:w="15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Taipei YouBike 2.0 trip records [1]</w:t>
            </w:r>
          </w:p>
        </w:tc>
        <w:tc>
          <w:tcPr>
            <w:tcW w:type="dxa" w:w="18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Sep 2024–Jun 2025, hourly, 1,519 stations</w:t>
            </w:r>
          </w:p>
        </w:tc>
        <w:tc>
          <w:tcPr>
            <w:tcW w:type="dxa" w:w="13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10.2 M rides touching the 144 NTU-area stations</w:t>
            </w:r>
          </w:p>
        </w:tc>
      </w:tr>
      <w:tr>
        <w:trPr>
          <w:cantSplit/>
        </w:trPr>
        <w:tc>
          <w:tcPr>
            <w:tcW w:type="dxa" w:w="15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Taipei inventory snapshots [2]</w:t>
            </w:r>
          </w:p>
        </w:tc>
        <w:tc>
          <w:tcPr>
            <w:tcW w:type="dxa" w:w="18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1 Sep 2024–22 Jun 2025 (295 days), 10 min</w:t>
            </w:r>
          </w:p>
        </w:tc>
        <w:tc>
          <w:tcPr>
            <w:tcW w:type="dxa" w:w="13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2.97 M station records → 6.1 M station-slots</w:t>
            </w:r>
          </w:p>
        </w:tc>
      </w:tr>
      <w:tr>
        <w:trPr>
          <w:cantSplit/>
        </w:trPr>
        <w:tc>
          <w:tcPr>
            <w:tcW w:type="dxa" w:w="15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NSYSU logger [17]</w:t>
            </w:r>
          </w:p>
        </w:tc>
        <w:tc>
          <w:tcPr>
            <w:tcW w:type="dxa" w:w="18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1–15 Oct 2026, 10 min, 309 stations ≤ 5 km</w:t>
            </w:r>
          </w:p>
        </w:tc>
        <w:tc>
          <w:tcPr>
            <w:tcW w:type="dxa" w:w="13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614 k station-slots (14 complete days)</w:t>
            </w:r>
          </w:p>
        </w:tc>
      </w:tr>
      <w:tr>
        <w:trPr>
          <w:cantSplit/>
        </w:trPr>
        <w:tc>
          <w:tcPr>
            <w:tcW w:type="dxa" w:w="1500"/>
            <w:tcMar>
              <w:top w:type="dxa" w:w="14"/>
              <w:left w:type="dxa" w:w="50"/>
              <w:bottom w:type="dxa" w:w="14"/>
              <w:right w:type="dxa" w:w="50"/>
            </w:tcMar>
            <w:vAlign w:val="center"/>
          </w:tcPr>
          <w:p>
            <w:pPr>
              <w:keepNext w:val="false"/>
              <w:keepLines/>
              <w:spacing w:after="0" w:line="210"/>
              <w:jc w:val="left"/>
            </w:pPr>
            <w:r>
              <w:rPr>
                <w:rFonts w:ascii="Times New Roman" w:cs="Times New Roman" w:eastAsia="PMingLiU" w:hAnsi="Times New Roman"/>
                <w:b w:val="false"/>
                <w:bCs w:val="false"/>
                <w:color w:val="0000FF"/>
                <w:sz w:val="15"/>
                <w:szCs w:val="15"/>
              </w:rPr>
              <w:t xml:space="preserve">Calendars</w:t>
            </w:r>
          </w:p>
        </w:tc>
        <w:tc>
          <w:tcPr>
            <w:tcW w:type="dxa" w:w="1877"/>
            <w:tcMar>
              <w:top w:type="dxa" w:w="14"/>
              <w:left w:type="dxa" w:w="50"/>
              <w:bottom w:type="dxa" w:w="14"/>
              <w:right w:type="dxa" w:w="50"/>
            </w:tcMar>
            <w:vAlign w:val="center"/>
          </w:tcPr>
          <w:p>
            <w:pPr>
              <w:keepNext w:val="false"/>
              <w:keepLines/>
              <w:spacing w:after="0" w:line="210"/>
              <w:jc w:val="left"/>
            </w:pPr>
            <w:r>
              <w:rPr>
                <w:rFonts w:ascii="Times New Roman" w:cs="Times New Roman" w:eastAsia="PMingLiU" w:hAnsi="Times New Roman"/>
                <w:b w:val="false"/>
                <w:bCs w:val="false"/>
                <w:color w:val="0000FF"/>
                <w:sz w:val="15"/>
                <w:szCs w:val="15"/>
              </w:rPr>
              <w:t xml:space="preserve">period ends of both campuses, holidays, semesters</w:t>
            </w:r>
          </w:p>
        </w:tc>
        <w:tc>
          <w:tcPr>
            <w:tcW w:type="dxa" w:w="1300"/>
            <w:tcMar>
              <w:top w:type="dxa" w:w="14"/>
              <w:left w:type="dxa" w:w="50"/>
              <w:bottom w:type="dxa" w:w="14"/>
              <w:right w:type="dxa" w:w="50"/>
            </w:tcMar>
            <w:vAlign w:val="center"/>
          </w:tcPr>
          <w:p>
            <w:pPr>
              <w:keepNext w:val="false"/>
              <w:keepLines/>
              <w:spacing w:after="0" w:line="210"/>
              <w:jc w:val="left"/>
            </w:pPr>
            <w:r>
              <w:rPr>
                <w:rFonts w:ascii="Times New Roman" w:cs="Times New Roman" w:eastAsia="PMingLiU" w:hAnsi="Times New Roman"/>
                <w:b w:val="false"/>
                <w:bCs w:val="false"/>
                <w:color w:val="0000FF"/>
                <w:sz w:val="15"/>
                <w:szCs w:val="15"/>
              </w:rPr>
              <w:t xml:space="preserve">bell and off-day features</w:t>
            </w:r>
          </w:p>
        </w:tc>
      </w:tr>
    </w:tbl>
    <w:p>
      <w:pPr>
        <w:spacing w:after="80" w:before="0" w:line="120"/>
      </w:pPr>
      <w:r>
        <w:rPr>
          <w:rFonts w:ascii="Times New Roman" w:cs="Times New Roman" w:eastAsia="PMingLiU" w:hAnsi="Times New Roman"/>
          <w:sz w:val="6"/>
          <w:szCs w:val="6"/>
        </w:rPr>
        <w:t xml:space="preserve"/>
      </w:r>
    </w:p>
    <w:p>
      <w:pPr>
        <w:keepNext/>
        <w:spacing w:after="30" w:before="90" w:line="240"/>
      </w:pPr>
      <w:r>
        <w:rPr>
          <w:rFonts w:ascii="Times New Roman" w:cs="Times New Roman" w:eastAsia="PMingLiU" w:hAnsi="Times New Roman"/>
          <w:b/>
          <w:bCs/>
          <w:color w:val="0000FF"/>
          <w:sz w:val="22"/>
          <w:szCs w:val="22"/>
        </w:rPr>
        <w:t xml:space="preserve">3.2. Class-end stockouts at NSYSU</w:t>
      </w:r>
    </w:p>
    <w:p>
      <w:pPr>
        <w:spacing w:after="0" w:line="240"/>
        <w:ind w:firstLine="288"/>
        <w:jc w:val="both"/>
      </w:pPr>
      <w:r>
        <w:rPr>
          <w:rFonts w:ascii="Times New Roman" w:cs="Times New Roman" w:eastAsia="PMingLiU" w:hAnsi="Times New Roman"/>
          <w:color w:val="0000FF"/>
          <w:sz w:val="20"/>
          <w:szCs w:val="20"/>
        </w:rPr>
        <w:t xml:space="preserve">Figs. 4 and 5 summarize the eight teaching weekdays of 2–14 Oct 2026 (9–10 Oct are holidays). Campus and KRT exits are the two ends of a tide. Campus stations fill between 08:00 and 10:00 (193 of 231 docks occupied) while both KRT exits are empty in 36% of morning slots; after the 12:00 bell the campus loses 93 bikes (55%) in 20 minutes, recovers over lunch, then drains through the 16:00 and 17:00 bells (−68 and −47 bikes within 40 minutes) to 7 bikes at 18:00, when 64% of campus stations are empty and the KRT exits hold 51 bikes; within an hour of the 17:00 bell, 88% of the remaining campus stock is gone.</w:t>
      </w:r>
    </w:p>
    <w:p>
      <w:pPr>
        <w:keepNext/>
        <w:spacing w:after="40" w:before="120"/>
        <w:jc w:val="center"/>
      </w:pPr>
      <w:r>
        <w:drawing>
          <wp:inline distT="0" distB="0" distL="0" distR="0">
            <wp:extent cx="2943225"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43225" cy="1400175"/>
                    </a:xfrm>
                    <a:prstGeom prst="rect">
                      <a:avLst/>
                    </a:prstGeom>
                  </pic:spPr>
                </pic:pic>
              </a:graphicData>
            </a:graphic>
          </wp:inline>
        </w:drawing>
      </w:r>
    </w:p>
    <w:p>
      <w:pPr>
        <w:keepLines/>
        <w:spacing w:after="140" w:before="0" w:line="200"/>
        <w:jc w:val="both"/>
      </w:pPr>
      <w:r>
        <w:rPr>
          <w:rFonts w:ascii="Times New Roman" w:cs="Times New Roman" w:eastAsia="PMingLiU" w:hAnsi="Times New Roman"/>
          <w:b/>
          <w:bCs/>
          <w:color w:val="0000FF"/>
          <w:sz w:val="17"/>
          <w:szCs w:val="17"/>
        </w:rPr>
        <w:t xml:space="preserve">Figure 4. </w:t>
      </w:r>
      <w:r>
        <w:rPr>
          <w:rFonts w:ascii="Times New Roman" w:cs="Times New Roman" w:eastAsia="PMingLiU" w:hAnsi="Times New Roman"/>
          <w:color w:val="0000FF"/>
          <w:sz w:val="17"/>
          <w:szCs w:val="17"/>
        </w:rPr>
        <w:t xml:space="preserve">NSYSU, eight teaching weekdays in Oct 2026 from our logger: bikes available at the 8 campus stations and the 2 KRT Sizihwan exits (mean, band = IQR); dashed = weekend campus mean.</w:t>
      </w:r>
    </w:p>
    <w:p>
      <w:pPr>
        <w:spacing w:after="0" w:line="240"/>
        <w:ind w:firstLine="288"/>
        <w:jc w:val="both"/>
      </w:pPr>
      <w:r>
        <w:rPr>
          <w:rFonts w:ascii="Times New Roman" w:cs="Times New Roman" w:eastAsia="PMingLiU" w:hAnsi="Times New Roman"/>
          <w:color w:val="0000FF"/>
          <w:sz w:val="20"/>
          <w:szCs w:val="20"/>
        </w:rPr>
        <w:t xml:space="preserve">The 246 stockout episodes at campus stations amount to 3.8 per station and day, with a median length of 20 min and a 90th percentile of 60 min; in total the eight campus stations spend 934 station-minutes empty per weekday. The morning has the mirror problem: the engineering and library stations have no free dock in 44% and 25% of 08:00–11:00 slots. On weekends the campus holds 40–130 bikes all day and the pattern disappears, which confirms the timetable as the cause.</w:t>
      </w:r>
    </w:p>
    <w:p>
      <w:pPr>
        <w:keepNext/>
        <w:spacing w:after="40" w:before="120"/>
        <w:jc w:val="center"/>
      </w:pPr>
      <w:r>
        <w:drawing>
          <wp:inline distT="0" distB="0" distL="0" distR="0">
            <wp:extent cx="2943225"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43225" cy="1628775"/>
                    </a:xfrm>
                    <a:prstGeom prst="rect">
                      <a:avLst/>
                    </a:prstGeom>
                  </pic:spPr>
                </pic:pic>
              </a:graphicData>
            </a:graphic>
          </wp:inline>
        </w:drawing>
      </w:r>
    </w:p>
    <w:p>
      <w:pPr>
        <w:keepLines/>
        <w:spacing w:after="140" w:before="0" w:line="200"/>
        <w:jc w:val="both"/>
      </w:pPr>
      <w:r>
        <w:rPr>
          <w:rFonts w:ascii="Times New Roman" w:cs="Times New Roman" w:eastAsia="PMingLiU" w:hAnsi="Times New Roman"/>
          <w:b/>
          <w:bCs/>
          <w:color w:val="0000FF"/>
          <w:sz w:val="17"/>
          <w:szCs w:val="17"/>
        </w:rPr>
        <w:t xml:space="preserve">Figure 5. </w:t>
      </w:r>
      <w:r>
        <w:rPr>
          <w:rFonts w:ascii="Times New Roman" w:cs="Times New Roman" w:eastAsia="PMingLiU" w:hAnsi="Times New Roman"/>
          <w:color w:val="0000FF"/>
          <w:sz w:val="17"/>
          <w:szCs w:val="17"/>
        </w:rPr>
        <w:t xml:space="preserve">Probability that a station is empty, by time of day on teaching weekdays, for the campus stations, the KRT exits and the four busiest gateway stations.</w:t>
      </w:r>
    </w:p>
    <w:p>
      <w:pPr>
        <w:keepNext/>
        <w:spacing w:after="30" w:before="90" w:line="240"/>
      </w:pPr>
      <w:r>
        <w:rPr>
          <w:rFonts w:ascii="Times New Roman" w:cs="Times New Roman" w:eastAsia="PMingLiU" w:hAnsi="Times New Roman"/>
          <w:b/>
          <w:bCs/>
          <w:color w:val="0000FF"/>
          <w:sz w:val="22"/>
          <w:szCs w:val="22"/>
        </w:rPr>
        <w:t xml:space="preserve">3.3. Demand reconstruction and operator moves at NTU</w:t>
      </w:r>
    </w:p>
    <w:p>
      <w:pPr>
        <w:spacing w:after="0" w:line="240"/>
        <w:ind w:firstLine="288"/>
        <w:jc w:val="both"/>
      </w:pPr>
      <w:r>
        <w:rPr>
          <w:rFonts w:ascii="Times New Roman" w:cs="Times New Roman" w:eastAsia="PMingLiU" w:hAnsi="Times New Roman"/>
          <w:color w:val="0000FF"/>
          <w:sz w:val="20"/>
          <w:szCs w:val="20"/>
        </w:rPr>
        <w:t xml:space="preserve">Reconciliation covers 917 k station-hours (144 stations, 295 days). On hours without inferred moves, trips alone explain inventory changes with R² = 0.87; adding the inferred moves reproduces the next-hour stock with R² = 0.984 (0.63 without them), so the inferred operator policy passes the proposal’s threshold. At the 144 stations the operator drops off about 2,550 and picks up about 2,160 bikes per day, 10% of the 25,700 daily rentals. Fig. 6 shows a reactive pattern: pick-ups from campus peak at 08:00–09:00 after the morning inflow, drop-offs at campus peak at 16:00–17:00, and only 19% of campus drop-offs happen in the hour before a major bell.</w:t>
      </w:r>
    </w:p>
    <w:p>
      <w:pPr>
        <w:keepNext/>
        <w:spacing w:after="40" w:before="120"/>
        <w:jc w:val="center"/>
      </w:pPr>
      <w:r>
        <w:drawing>
          <wp:inline distT="0" distB="0" distL="0" distR="0">
            <wp:extent cx="2943225"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43225" cy="1543050"/>
                    </a:xfrm>
                    <a:prstGeom prst="rect">
                      <a:avLst/>
                    </a:prstGeom>
                  </pic:spPr>
                </pic:pic>
              </a:graphicData>
            </a:graphic>
          </wp:inline>
        </w:drawing>
      </w:r>
    </w:p>
    <w:p>
      <w:pPr>
        <w:keepLines/>
        <w:spacing w:after="140" w:before="0" w:line="200"/>
        <w:jc w:val="both"/>
      </w:pPr>
      <w:r>
        <w:rPr>
          <w:rFonts w:ascii="Times New Roman" w:cs="Times New Roman" w:eastAsia="PMingLiU" w:hAnsi="Times New Roman"/>
          <w:b/>
          <w:bCs/>
          <w:color w:val="0000FF"/>
          <w:sz w:val="17"/>
          <w:szCs w:val="17"/>
        </w:rPr>
        <w:t xml:space="preserve">Figure 6. </w:t>
      </w:r>
      <w:r>
        <w:rPr>
          <w:rFonts w:ascii="Times New Roman" w:cs="Times New Roman" w:eastAsia="PMingLiU" w:hAnsi="Times New Roman"/>
          <w:color w:val="0000FF"/>
          <w:sz w:val="17"/>
          <w:szCs w:val="17"/>
        </w:rPr>
        <w:t xml:space="preserve">Inferred truck moves per hour and day at the 59 campus and 85 ring stations (bikes dropped off above the axis, picked up below). Dashed lines: 12:10 and 17:20 bells.</w:t>
      </w:r>
    </w:p>
    <w:p>
      <w:pPr>
        <w:spacing w:after="0" w:line="240"/>
        <w:ind w:firstLine="288"/>
        <w:jc w:val="both"/>
      </w:pPr>
      <w:r>
        <w:rPr>
          <w:rFonts w:ascii="Times New Roman" w:cs="Times New Roman" w:eastAsia="PMingLiU" w:hAnsi="Times New Roman"/>
          <w:color w:val="0000FF"/>
          <w:sz w:val="20"/>
          <w:szCs w:val="20"/>
        </w:rPr>
        <w:t xml:space="preserve">The censoring correction is large where it matters: at campus stations on weekdays, observed rentals understate demand by 8% at 12:00, 17% at 17:00, 39% at 18:00 and 2.1× at 22:00, because campus stations are empty 46% of the time at 17:00–19:00. These corrected rates are the demand input of the planner.</w:t>
      </w:r>
    </w:p>
    <w:p>
      <w:pPr>
        <w:keepNext/>
        <w:spacing w:after="40" w:before="120"/>
        <w:jc w:val="center"/>
      </w:pPr>
      <w:r>
        <w:drawing>
          <wp:inline distT="0" distB="0" distL="0" distR="0">
            <wp:extent cx="2943225"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43225" cy="1676400"/>
                    </a:xfrm>
                    <a:prstGeom prst="rect">
                      <a:avLst/>
                    </a:prstGeom>
                  </pic:spPr>
                </pic:pic>
              </a:graphicData>
            </a:graphic>
          </wp:inline>
        </w:drawing>
      </w:r>
    </w:p>
    <w:p>
      <w:pPr>
        <w:keepLines/>
        <w:spacing w:after="140" w:before="0" w:line="200"/>
        <w:jc w:val="both"/>
      </w:pPr>
      <w:r>
        <w:rPr>
          <w:rFonts w:ascii="Times New Roman" w:cs="Times New Roman" w:eastAsia="PMingLiU" w:hAnsi="Times New Roman"/>
          <w:b/>
          <w:bCs/>
          <w:color w:val="0000FF"/>
          <w:sz w:val="17"/>
          <w:szCs w:val="17"/>
        </w:rPr>
        <w:t xml:space="preserve">Figure 7. </w:t>
      </w:r>
      <w:r>
        <w:rPr>
          <w:rFonts w:ascii="Times New Roman" w:cs="Times New Roman" w:eastAsia="PMingLiU" w:hAnsi="Times New Roman"/>
          <w:color w:val="0000FF"/>
          <w:sz w:val="17"/>
          <w:szCs w:val="17"/>
        </w:rPr>
        <w:t xml:space="preserve">Checks on the operator inference. (a) Inferred drop-offs per day for each threshold and window; dashed: bikes arriving in ≥ 8-bike jumps between snapshots. (b) Actual rentals divided by the training-period rate on well-stocked campus station-hours of the test period; dashed: 12:10 and 17:20 bells.</w:t>
      </w:r>
    </w:p>
    <w:p>
      <w:pPr>
        <w:spacing w:after="0" w:line="240"/>
        <w:ind w:firstLine="288"/>
        <w:jc w:val="both"/>
      </w:pPr>
      <w:r>
        <w:rPr>
          <w:rFonts w:ascii="Times New Roman" w:cs="Times New Roman" w:eastAsia="PMingLiU" w:hAnsi="Times New Roman"/>
          <w:color w:val="0000FF"/>
          <w:sz w:val="20"/>
          <w:szCs w:val="20"/>
        </w:rPr>
        <w:t xml:space="preserve">The checks of Sec. 2.3.1 (Fig. 7) support the inference with one qualification. Conservation: the area loses 600 bikes per day through trips, the flagged moves bring back 394 and the unflagged residual 185; that residual averages +0.08 bikes per station-hour, so small top-ups below the threshold are missed and the 2,550 drop-offs are a lower bound. Sensitivity: across thresholds 3–8 bikes and windows 1–6 h the drop-off volume ranges from 2,150 to 2,975 bikes per day, the share before a major bell stays at 18–20%, the peak hour is always 17:00 and the reproduction R² stays above 0.977. Jumps: 56% of flagged windows contain a ≥ 8-bike jump in the flagged direction against 8% of unflagged windows, and jumps alone sum to 2,270 bikes up and 2,210 down per day. Rates: on 14.6 k well-stocked campus station-hours of the test period, actual rentals are 12% above the naive rate but 4% above the corrected one; at 17:00–18:00 the naive rate is 17–18% low and the corrected rate within 2%. The volume is plausible: 4,700 bike-moves per day is about 240 truck loads of 20 in the 1.2-km area, and a press report on the operator’s crews describes over a thousand bikes collecting at riverside stations in a single day and being trucked back overnight [26].</w:t>
      </w:r>
    </w:p>
    <w:p>
      <w:pPr>
        <w:keepNext/>
        <w:spacing w:after="30" w:before="90" w:line="240"/>
      </w:pPr>
      <w:r>
        <w:rPr>
          <w:rFonts w:ascii="Times New Roman" w:cs="Times New Roman" w:eastAsia="PMingLiU" w:hAnsi="Times New Roman"/>
          <w:b/>
          <w:bCs/>
          <w:color w:val="0000FF"/>
          <w:sz w:val="22"/>
          <w:szCs w:val="22"/>
        </w:rPr>
        <w:t xml:space="preserve">3.4. Stockout prediction</w:t>
      </w:r>
    </w:p>
    <w:p>
      <w:pPr>
        <w:spacing w:after="0" w:line="240"/>
        <w:ind w:firstLine="288"/>
        <w:jc w:val="both"/>
      </w:pPr>
      <w:r>
        <w:rPr>
          <w:rFonts w:ascii="Times New Roman" w:cs="Times New Roman" w:eastAsia="PMingLiU" w:hAnsi="Times New Roman"/>
          <w:color w:val="0000FF"/>
          <w:sz w:val="20"/>
          <w:szCs w:val="20"/>
        </w:rPr>
        <w:t xml:space="preserve">Tables 3–4 and Fig. 8 give the test results on the 1.09 M test slots whose current stock is observed. At the 30-minute horizon the full model reaches AUC 0.932 and Brier 0.080, against 0.819 / 0.126 for the seasonal baseline and 0.744 / 0.124 for persistence; the inventory-only model is close behind (0.922 / 0.084), so trip flows add little once the current stock and its trend are known, at this horizon. Calibration is good without post-processing: ECE 0.012 and a reliability curve on the diagonal up to p = 0.9 (Fig. 8a), while the seasonal baseline under-predicts at high probabilities. Performance is higher on campus stations (AUC 0.946) and lower in the 40 minutes after a major bell (0.906), where the surge is fastest. The day-level bootstrap gives half-widths of about 0.005 AUC for the GBMs, and every paired difference has an interval that excludes zero: full against inventory-only +0.010 [0.009, 0.011], inventory-only against logistic +0.007 [0.006, 0.007] and against the corrected roll-out +0.027 [0.025, 0.029].</w:t>
      </w:r>
    </w:p>
    <w:p>
      <w:pPr>
        <w:keepNext/>
        <w:keepLines/>
        <w:spacing w:after="50" w:before="100" w:line="220"/>
        <w:jc w:val="both"/>
      </w:pPr>
      <w:r>
        <w:rPr>
          <w:rFonts w:ascii="Times New Roman" w:cs="Times New Roman" w:eastAsia="PMingLiU" w:hAnsi="Times New Roman"/>
          <w:b/>
          <w:bCs/>
          <w:color w:val="0000FF"/>
          <w:sz w:val="17"/>
          <w:szCs w:val="17"/>
        </w:rPr>
        <w:t xml:space="preserve">Table 3. </w:t>
      </w:r>
      <w:r>
        <w:rPr>
          <w:rFonts w:ascii="Times New Roman" w:cs="Times New Roman" w:eastAsia="PMingLiU" w:hAnsi="Times New Roman"/>
          <w:color w:val="0000FF"/>
          <w:sz w:val="17"/>
          <w:szCs w:val="17"/>
        </w:rPr>
        <w:t xml:space="preserve">NTU test period (Apr–Jun 2025), all 144 stations, h = 30 min; 95% intervals from the day-level bootstrap. GBM + flows also uses the station id; stacked = GBM + flows + the roll-out probability.</w:t>
      </w:r>
    </w:p>
    <w:tbl>
      <w:tblPr>
        <w:tblW w:type="dxa" w:w="4677"/>
        <w:tblBorders>
          <w:top w:val="single" w:color="999999" w:sz="4"/>
          <w:left w:val="none" w:color="FFFFFF" w:sz="0"/>
          <w:bottom w:val="single" w:color="999999" w:sz="4"/>
          <w:right w:val="none" w:color="FFFFFF" w:sz="0"/>
          <w:insideH w:val="single" w:color="BBBBBB" w:sz="2"/>
          <w:insideV w:val="none" w:color="FFFFFF" w:sz="0"/>
        </w:tblBorders>
      </w:tblPr>
      <w:tblGrid>
        <w:gridCol w:w="1477"/>
        <w:gridCol w:w="500"/>
        <w:gridCol w:w="1500"/>
        <w:gridCol w:w="550"/>
        <w:gridCol w:w="650"/>
      </w:tblGrid>
      <w:tr>
        <w:trPr>
          <w:cantSplit/>
          <w:tblHeader/>
        </w:trPr>
        <w:tc>
          <w:tcPr>
            <w:tcW w:type="dxa" w:w="1477"/>
            <w:shd w:fill="EDEDED" w:color="auto" w:val="clear"/>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bCs/>
                <w:color w:val="0000FF"/>
                <w:sz w:val="15"/>
                <w:szCs w:val="15"/>
              </w:rPr>
              <w:t xml:space="preserve">Model</w:t>
            </w:r>
          </w:p>
        </w:tc>
        <w:tc>
          <w:tcPr>
            <w:tcW w:type="dxa" w:w="500"/>
            <w:shd w:fill="EDEDED" w:color="auto" w:val="clear"/>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bCs/>
                <w:color w:val="0000FF"/>
                <w:sz w:val="15"/>
                <w:szCs w:val="15"/>
              </w:rPr>
              <w:t xml:space="preserve">Brier</w:t>
            </w:r>
          </w:p>
        </w:tc>
        <w:tc>
          <w:tcPr>
            <w:tcW w:type="dxa" w:w="1500"/>
            <w:shd w:fill="EDEDED" w:color="auto" w:val="clear"/>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bCs/>
                <w:color w:val="0000FF"/>
                <w:sz w:val="15"/>
                <w:szCs w:val="15"/>
              </w:rPr>
              <w:t xml:space="preserve">AUC [95% CI]</w:t>
            </w:r>
          </w:p>
        </w:tc>
        <w:tc>
          <w:tcPr>
            <w:tcW w:type="dxa" w:w="550"/>
            <w:shd w:fill="EDEDED" w:color="auto" w:val="clear"/>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bCs/>
                <w:color w:val="0000FF"/>
                <w:sz w:val="15"/>
                <w:szCs w:val="15"/>
              </w:rPr>
              <w:t xml:space="preserve">ECE</w:t>
            </w:r>
          </w:p>
        </w:tc>
        <w:tc>
          <w:tcPr>
            <w:tcW w:type="dxa" w:w="650"/>
            <w:shd w:fill="EDEDED" w:color="auto" w:val="clear"/>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bCs/>
                <w:color w:val="0000FF"/>
                <w:sz w:val="15"/>
                <w:szCs w:val="15"/>
              </w:rPr>
              <w:t xml:space="preserve">trees</w:t>
            </w:r>
          </w:p>
        </w:tc>
      </w:tr>
      <w:tr>
        <w:trPr>
          <w:cantSplit/>
        </w:trPr>
        <w:tc>
          <w:tcPr>
            <w:tcW w:type="dxa" w:w="14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persistence</w:t>
            </w:r>
          </w:p>
        </w:tc>
        <w:tc>
          <w:tcPr>
            <w:tcW w:type="dxa" w:w="5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0.124</w:t>
            </w:r>
          </w:p>
        </w:tc>
        <w:tc>
          <w:tcPr>
            <w:tcW w:type="dxa" w:w="15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0.744 [0.740, 0.748]</w:t>
            </w:r>
          </w:p>
        </w:tc>
        <w:tc>
          <w:tcPr>
            <w:tcW w:type="dxa" w:w="55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0.124</w:t>
            </w:r>
          </w:p>
        </w:tc>
        <w:tc>
          <w:tcPr>
            <w:tcW w:type="dxa" w:w="65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w:t>
            </w:r>
          </w:p>
        </w:tc>
      </w:tr>
      <w:tr>
        <w:trPr>
          <w:cantSplit/>
        </w:trPr>
        <w:tc>
          <w:tcPr>
            <w:tcW w:type="dxa" w:w="14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seasonal mean</w:t>
            </w:r>
          </w:p>
        </w:tc>
        <w:tc>
          <w:tcPr>
            <w:tcW w:type="dxa" w:w="5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0.126</w:t>
            </w:r>
          </w:p>
        </w:tc>
        <w:tc>
          <w:tcPr>
            <w:tcW w:type="dxa" w:w="15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0.819 [0.807, 0.829]</w:t>
            </w:r>
          </w:p>
        </w:tc>
        <w:tc>
          <w:tcPr>
            <w:tcW w:type="dxa" w:w="55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0.016</w:t>
            </w:r>
          </w:p>
        </w:tc>
        <w:tc>
          <w:tcPr>
            <w:tcW w:type="dxa" w:w="65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w:t>
            </w:r>
          </w:p>
        </w:tc>
      </w:tr>
      <w:tr>
        <w:trPr>
          <w:cantSplit/>
        </w:trPr>
        <w:tc>
          <w:tcPr>
            <w:tcW w:type="dxa" w:w="14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roll-out, naive rates</w:t>
            </w:r>
          </w:p>
        </w:tc>
        <w:tc>
          <w:tcPr>
            <w:tcW w:type="dxa" w:w="5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0.105</w:t>
            </w:r>
          </w:p>
        </w:tc>
        <w:tc>
          <w:tcPr>
            <w:tcW w:type="dxa" w:w="15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0.893 [0.888, 0.900]</w:t>
            </w:r>
          </w:p>
        </w:tc>
        <w:tc>
          <w:tcPr>
            <w:tcW w:type="dxa" w:w="55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0.059</w:t>
            </w:r>
          </w:p>
        </w:tc>
        <w:tc>
          <w:tcPr>
            <w:tcW w:type="dxa" w:w="65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w:t>
            </w:r>
          </w:p>
        </w:tc>
      </w:tr>
      <w:tr>
        <w:trPr>
          <w:cantSplit/>
        </w:trPr>
        <w:tc>
          <w:tcPr>
            <w:tcW w:type="dxa" w:w="14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roll-out, corrected</w:t>
            </w:r>
          </w:p>
        </w:tc>
        <w:tc>
          <w:tcPr>
            <w:tcW w:type="dxa" w:w="5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0.102</w:t>
            </w:r>
          </w:p>
        </w:tc>
        <w:tc>
          <w:tcPr>
            <w:tcW w:type="dxa" w:w="15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0.895 [0.890, 0.902]</w:t>
            </w:r>
          </w:p>
        </w:tc>
        <w:tc>
          <w:tcPr>
            <w:tcW w:type="dxa" w:w="55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0.039</w:t>
            </w:r>
          </w:p>
        </w:tc>
        <w:tc>
          <w:tcPr>
            <w:tcW w:type="dxa" w:w="65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w:t>
            </w:r>
          </w:p>
        </w:tc>
      </w:tr>
      <w:tr>
        <w:trPr>
          <w:cantSplit/>
        </w:trPr>
        <w:tc>
          <w:tcPr>
            <w:tcW w:type="dxa" w:w="14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roll-out + isotonic</w:t>
            </w:r>
          </w:p>
        </w:tc>
        <w:tc>
          <w:tcPr>
            <w:tcW w:type="dxa" w:w="5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0.100</w:t>
            </w:r>
          </w:p>
        </w:tc>
        <w:tc>
          <w:tcPr>
            <w:tcW w:type="dxa" w:w="15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0.895 [0.890, 0.902]</w:t>
            </w:r>
          </w:p>
        </w:tc>
        <w:tc>
          <w:tcPr>
            <w:tcW w:type="dxa" w:w="55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0.012</w:t>
            </w:r>
          </w:p>
        </w:tc>
        <w:tc>
          <w:tcPr>
            <w:tcW w:type="dxa" w:w="65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w:t>
            </w:r>
          </w:p>
        </w:tc>
      </w:tr>
      <w:tr>
        <w:trPr>
          <w:cantSplit/>
        </w:trPr>
        <w:tc>
          <w:tcPr>
            <w:tcW w:type="dxa" w:w="14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logistic regression</w:t>
            </w:r>
          </w:p>
        </w:tc>
        <w:tc>
          <w:tcPr>
            <w:tcW w:type="dxa" w:w="5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0.086</w:t>
            </w:r>
          </w:p>
        </w:tc>
        <w:tc>
          <w:tcPr>
            <w:tcW w:type="dxa" w:w="15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0.915 [0.911, 0.921]</w:t>
            </w:r>
          </w:p>
        </w:tc>
        <w:tc>
          <w:tcPr>
            <w:tcW w:type="dxa" w:w="55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0.008</w:t>
            </w:r>
          </w:p>
        </w:tc>
        <w:tc>
          <w:tcPr>
            <w:tcW w:type="dxa" w:w="65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w:t>
            </w:r>
          </w:p>
        </w:tc>
      </w:tr>
      <w:tr>
        <w:trPr>
          <w:cantSplit/>
        </w:trPr>
        <w:tc>
          <w:tcPr>
            <w:tcW w:type="dxa" w:w="14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GBM inventory only</w:t>
            </w:r>
          </w:p>
        </w:tc>
        <w:tc>
          <w:tcPr>
            <w:tcW w:type="dxa" w:w="5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0.084</w:t>
            </w:r>
          </w:p>
        </w:tc>
        <w:tc>
          <w:tcPr>
            <w:tcW w:type="dxa" w:w="15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0.922 [0.917, 0.928]</w:t>
            </w:r>
          </w:p>
        </w:tc>
        <w:tc>
          <w:tcPr>
            <w:tcW w:type="dxa" w:w="55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0.012</w:t>
            </w:r>
          </w:p>
        </w:tc>
        <w:tc>
          <w:tcPr>
            <w:tcW w:type="dxa" w:w="65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170</w:t>
            </w:r>
          </w:p>
        </w:tc>
      </w:tr>
      <w:tr>
        <w:trPr>
          <w:cantSplit/>
        </w:trPr>
        <w:tc>
          <w:tcPr>
            <w:tcW w:type="dxa" w:w="14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GBM + flows</w:t>
            </w:r>
          </w:p>
        </w:tc>
        <w:tc>
          <w:tcPr>
            <w:tcW w:type="dxa" w:w="5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0.080</w:t>
            </w:r>
          </w:p>
        </w:tc>
        <w:tc>
          <w:tcPr>
            <w:tcW w:type="dxa" w:w="15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0.932 [0.928, 0.937]</w:t>
            </w:r>
          </w:p>
        </w:tc>
        <w:tc>
          <w:tcPr>
            <w:tcW w:type="dxa" w:w="55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0.012</w:t>
            </w:r>
          </w:p>
        </w:tc>
        <w:tc>
          <w:tcPr>
            <w:tcW w:type="dxa" w:w="65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951</w:t>
            </w:r>
          </w:p>
        </w:tc>
      </w:tr>
      <w:tr>
        <w:trPr>
          <w:cantSplit/>
        </w:trPr>
        <w:tc>
          <w:tcPr>
            <w:tcW w:type="dxa" w:w="1477"/>
            <w:tcMar>
              <w:top w:type="dxa" w:w="14"/>
              <w:left w:type="dxa" w:w="50"/>
              <w:bottom w:type="dxa" w:w="14"/>
              <w:right w:type="dxa" w:w="50"/>
            </w:tcMar>
            <w:vAlign w:val="center"/>
          </w:tcPr>
          <w:p>
            <w:pPr>
              <w:keepNext w:val="false"/>
              <w:keepLines/>
              <w:spacing w:after="0" w:line="210"/>
              <w:jc w:val="left"/>
            </w:pPr>
            <w:r>
              <w:rPr>
                <w:rFonts w:ascii="Times New Roman" w:cs="Times New Roman" w:eastAsia="PMingLiU" w:hAnsi="Times New Roman"/>
                <w:b w:val="false"/>
                <w:bCs w:val="false"/>
                <w:color w:val="0000FF"/>
                <w:sz w:val="15"/>
                <w:szCs w:val="15"/>
              </w:rPr>
              <w:t xml:space="preserve">stacked GBM</w:t>
            </w:r>
          </w:p>
        </w:tc>
        <w:tc>
          <w:tcPr>
            <w:tcW w:type="dxa" w:w="500"/>
            <w:tcMar>
              <w:top w:type="dxa" w:w="14"/>
              <w:left w:type="dxa" w:w="50"/>
              <w:bottom w:type="dxa" w:w="14"/>
              <w:right w:type="dxa" w:w="50"/>
            </w:tcMar>
            <w:vAlign w:val="center"/>
          </w:tcPr>
          <w:p>
            <w:pPr>
              <w:keepNext w:val="false"/>
              <w:keepLines/>
              <w:spacing w:after="0" w:line="210"/>
              <w:jc w:val="center"/>
            </w:pPr>
            <w:r>
              <w:rPr>
                <w:rFonts w:ascii="Times New Roman" w:cs="Times New Roman" w:eastAsia="PMingLiU" w:hAnsi="Times New Roman"/>
                <w:b w:val="false"/>
                <w:bCs w:val="false"/>
                <w:color w:val="0000FF"/>
                <w:sz w:val="15"/>
                <w:szCs w:val="15"/>
              </w:rPr>
              <w:t xml:space="preserve">0.079</w:t>
            </w:r>
          </w:p>
        </w:tc>
        <w:tc>
          <w:tcPr>
            <w:tcW w:type="dxa" w:w="1500"/>
            <w:tcMar>
              <w:top w:type="dxa" w:w="14"/>
              <w:left w:type="dxa" w:w="50"/>
              <w:bottom w:type="dxa" w:w="14"/>
              <w:right w:type="dxa" w:w="50"/>
            </w:tcMar>
            <w:vAlign w:val="center"/>
          </w:tcPr>
          <w:p>
            <w:pPr>
              <w:keepNext w:val="false"/>
              <w:keepLines/>
              <w:spacing w:after="0" w:line="210"/>
              <w:jc w:val="center"/>
            </w:pPr>
            <w:r>
              <w:rPr>
                <w:rFonts w:ascii="Times New Roman" w:cs="Times New Roman" w:eastAsia="PMingLiU" w:hAnsi="Times New Roman"/>
                <w:b w:val="false"/>
                <w:bCs w:val="false"/>
                <w:color w:val="0000FF"/>
                <w:sz w:val="15"/>
                <w:szCs w:val="15"/>
              </w:rPr>
              <w:t xml:space="preserve">0.933 [0.929, 0.938]</w:t>
            </w:r>
          </w:p>
        </w:tc>
        <w:tc>
          <w:tcPr>
            <w:tcW w:type="dxa" w:w="550"/>
            <w:tcMar>
              <w:top w:type="dxa" w:w="14"/>
              <w:left w:type="dxa" w:w="50"/>
              <w:bottom w:type="dxa" w:w="14"/>
              <w:right w:type="dxa" w:w="50"/>
            </w:tcMar>
            <w:vAlign w:val="center"/>
          </w:tcPr>
          <w:p>
            <w:pPr>
              <w:keepNext w:val="false"/>
              <w:keepLines/>
              <w:spacing w:after="0" w:line="210"/>
              <w:jc w:val="center"/>
            </w:pPr>
            <w:r>
              <w:rPr>
                <w:rFonts w:ascii="Times New Roman" w:cs="Times New Roman" w:eastAsia="PMingLiU" w:hAnsi="Times New Roman"/>
                <w:b w:val="false"/>
                <w:bCs w:val="false"/>
                <w:color w:val="0000FF"/>
                <w:sz w:val="15"/>
                <w:szCs w:val="15"/>
              </w:rPr>
              <w:t xml:space="preserve">0.012</w:t>
            </w:r>
          </w:p>
        </w:tc>
        <w:tc>
          <w:tcPr>
            <w:tcW w:type="dxa" w:w="650"/>
            <w:tcMar>
              <w:top w:type="dxa" w:w="14"/>
              <w:left w:type="dxa" w:w="50"/>
              <w:bottom w:type="dxa" w:w="14"/>
              <w:right w:type="dxa" w:w="50"/>
            </w:tcMar>
            <w:vAlign w:val="center"/>
          </w:tcPr>
          <w:p>
            <w:pPr>
              <w:keepNext w:val="false"/>
              <w:keepLines/>
              <w:spacing w:after="0" w:line="210"/>
              <w:jc w:val="center"/>
            </w:pPr>
            <w:r>
              <w:rPr>
                <w:rFonts w:ascii="Times New Roman" w:cs="Times New Roman" w:eastAsia="PMingLiU" w:hAnsi="Times New Roman"/>
                <w:b w:val="false"/>
                <w:bCs w:val="false"/>
                <w:color w:val="0000FF"/>
                <w:sz w:val="15"/>
                <w:szCs w:val="15"/>
              </w:rPr>
              <w:t xml:space="preserve">670</w:t>
            </w:r>
          </w:p>
        </w:tc>
      </w:tr>
    </w:tbl>
    <w:p>
      <w:pPr>
        <w:spacing w:after="80" w:before="0" w:line="120"/>
      </w:pPr>
      <w:r>
        <w:rPr>
          <w:rFonts w:ascii="Times New Roman" w:cs="Times New Roman" w:eastAsia="PMingLiU" w:hAnsi="Times New Roman"/>
          <w:sz w:val="6"/>
          <w:szCs w:val="6"/>
        </w:rPr>
        <w:t xml:space="preserve"/>
      </w:r>
    </w:p>
    <w:p>
      <w:pPr>
        <w:spacing w:after="0" w:line="240"/>
        <w:ind w:firstLine="288"/>
        <w:jc w:val="both"/>
      </w:pPr>
      <w:r>
        <w:rPr>
          <w:rFonts w:ascii="Times New Roman" w:cs="Times New Roman" w:eastAsia="PMingLiU" w:hAnsi="Times New Roman"/>
          <w:color w:val="0000FF"/>
          <w:sz w:val="20"/>
          <w:szCs w:val="20"/>
        </w:rPr>
        <w:t xml:space="preserve">The Poisson roll-out of the proposal ranks stockouts far better than the seasonal baseline (AUC 0.895 against 0.819) but below the linear model (0.915) and the GBMs (0.922 / 0.932). Its deficit is specific: for a station that is empty now it predicts a 61% chance of being empty again within 30 min, against 82% observed, because returns are not independent of the state: an empty station usually sits in a drained neighbourhood and the first bike returned is rented at once. On stations holding 1–3 bikes its AUC is 0.67 against 0.74–0.78 for the classifiers. The censoring correction helps the chain at every horizon (AUC +0.002 to +0.013, ECE 0.039 against 0.059 at 30 min), the first direct evidence that Eq. (3) improves a downstream prediction. Isotonic calibration brings its ECE to 0.012 but cannot change the ranking, so its Brier stays at 0.100 against 0.080. As a 30th feature the chain raises the full model’s AUC by only 0.001–0.003 while taking 24–54% of the split gain: real information, almost all of it already in the features. The sampler the proposal described agrees with the exact chain to a mean absolute difference of 0.008–0.010 (correlation 0.999) over 3,000 rows and four horizons.</w:t>
      </w:r>
    </w:p>
    <w:p>
      <w:pPr>
        <w:keepNext/>
        <w:spacing w:after="40" w:before="120"/>
        <w:jc w:val="center"/>
      </w:pPr>
      <w:r>
        <w:drawing>
          <wp:inline distT="0" distB="0" distL="0" distR="0">
            <wp:extent cx="29432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43225" cy="1905000"/>
                    </a:xfrm>
                    <a:prstGeom prst="rect">
                      <a:avLst/>
                    </a:prstGeom>
                  </pic:spPr>
                </pic:pic>
              </a:graphicData>
            </a:graphic>
          </wp:inline>
        </w:drawing>
      </w:r>
    </w:p>
    <w:p>
      <w:pPr>
        <w:keepLines/>
        <w:spacing w:after="140" w:before="0" w:line="200"/>
        <w:jc w:val="both"/>
      </w:pPr>
      <w:r>
        <w:rPr>
          <w:rFonts w:ascii="Times New Roman" w:cs="Times New Roman" w:eastAsia="PMingLiU" w:hAnsi="Times New Roman"/>
          <w:b/>
          <w:bCs/>
          <w:color w:val="0000FF"/>
          <w:sz w:val="17"/>
          <w:szCs w:val="17"/>
        </w:rPr>
        <w:t xml:space="preserve">Figure 8. </w:t>
      </w:r>
      <w:r>
        <w:rPr>
          <w:rFonts w:ascii="Times New Roman" w:cs="Times New Roman" w:eastAsia="PMingLiU" w:hAnsi="Times New Roman"/>
          <w:color w:val="0000FF"/>
          <w:sz w:val="17"/>
          <w:szCs w:val="17"/>
        </w:rPr>
        <w:t xml:space="preserve">(a) Reliability of the 30-minute predictions on the NTU test months. (b) AUC on all stations, campus stations, and campus slots within 40 min after a major bell.</w:t>
      </w:r>
    </w:p>
    <w:p>
      <w:pPr>
        <w:keepNext/>
        <w:keepLines/>
        <w:spacing w:after="50" w:before="100" w:line="220"/>
        <w:jc w:val="both"/>
      </w:pPr>
      <w:r>
        <w:rPr>
          <w:rFonts w:ascii="Times New Roman" w:cs="Times New Roman" w:eastAsia="PMingLiU" w:hAnsi="Times New Roman"/>
          <w:b/>
          <w:bCs/>
          <w:color w:val="0000FF"/>
          <w:sz w:val="17"/>
          <w:szCs w:val="17"/>
        </w:rPr>
        <w:t xml:space="preserve">Table 4. </w:t>
      </w:r>
      <w:r>
        <w:rPr>
          <w:rFonts w:ascii="Times New Roman" w:cs="Times New Roman" w:eastAsia="PMingLiU" w:hAnsi="Times New Roman"/>
          <w:color w:val="0000FF"/>
          <w:sz w:val="17"/>
          <w:szCs w:val="17"/>
        </w:rPr>
        <w:t xml:space="preserve">AUC/Brier by horizon, NTU test period, all stations.</w:t>
      </w:r>
    </w:p>
    <w:tbl>
      <w:tblPr>
        <w:tblW w:type="dxa" w:w="4677"/>
        <w:tblBorders>
          <w:top w:val="single" w:color="999999" w:sz="4"/>
          <w:left w:val="none" w:color="FFFFFF" w:sz="0"/>
          <w:bottom w:val="single" w:color="999999" w:sz="4"/>
          <w:right w:val="none" w:color="FFFFFF" w:sz="0"/>
          <w:insideH w:val="single" w:color="BBBBBB" w:sz="2"/>
          <w:insideV w:val="none" w:color="FFFFFF" w:sz="0"/>
        </w:tblBorders>
      </w:tblPr>
      <w:tblGrid>
        <w:gridCol w:w="1357"/>
        <w:gridCol w:w="830"/>
        <w:gridCol w:w="830"/>
        <w:gridCol w:w="830"/>
        <w:gridCol w:w="830"/>
      </w:tblGrid>
      <w:tr>
        <w:trPr>
          <w:cantSplit/>
          <w:tblHeader/>
        </w:trPr>
        <w:tc>
          <w:tcPr>
            <w:tcW w:type="dxa" w:w="1357"/>
            <w:shd w:fill="EDEDED" w:color="auto" w:val="clear"/>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bCs/>
                <w:color w:val="0000FF"/>
                <w:sz w:val="15"/>
                <w:szCs w:val="15"/>
              </w:rPr>
              <w:t xml:space="preserve">Model</w:t>
            </w:r>
          </w:p>
        </w:tc>
        <w:tc>
          <w:tcPr>
            <w:tcW w:type="dxa" w:w="830"/>
            <w:shd w:fill="EDEDED" w:color="auto" w:val="clear"/>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bCs/>
                <w:color w:val="0000FF"/>
                <w:sz w:val="15"/>
                <w:szCs w:val="15"/>
              </w:rPr>
              <w:t xml:space="preserve">30 min</w:t>
            </w:r>
          </w:p>
        </w:tc>
        <w:tc>
          <w:tcPr>
            <w:tcW w:type="dxa" w:w="830"/>
            <w:shd w:fill="EDEDED" w:color="auto" w:val="clear"/>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bCs/>
                <w:color w:val="0000FF"/>
                <w:sz w:val="15"/>
                <w:szCs w:val="15"/>
              </w:rPr>
              <w:t xml:space="preserve">60 min</w:t>
            </w:r>
          </w:p>
        </w:tc>
        <w:tc>
          <w:tcPr>
            <w:tcW w:type="dxa" w:w="830"/>
            <w:shd w:fill="EDEDED" w:color="auto" w:val="clear"/>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bCs/>
                <w:color w:val="0000FF"/>
                <w:sz w:val="15"/>
                <w:szCs w:val="15"/>
              </w:rPr>
              <w:t xml:space="preserve">90 min</w:t>
            </w:r>
          </w:p>
        </w:tc>
        <w:tc>
          <w:tcPr>
            <w:tcW w:type="dxa" w:w="830"/>
            <w:shd w:fill="EDEDED" w:color="auto" w:val="clear"/>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bCs/>
                <w:color w:val="0000FF"/>
                <w:sz w:val="15"/>
                <w:szCs w:val="15"/>
              </w:rPr>
              <w:t xml:space="preserve">120 min</w:t>
            </w:r>
          </w:p>
        </w:tc>
      </w:tr>
      <w:tr>
        <w:trPr>
          <w:cantSplit/>
        </w:trPr>
        <w:tc>
          <w:tcPr>
            <w:tcW w:type="dxa" w:w="135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seasonal mean</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0.819/0.126</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0.817/0.148</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0.813/0.162</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0.810/0.171</w:t>
            </w:r>
          </w:p>
        </w:tc>
      </w:tr>
      <w:tr>
        <w:trPr>
          <w:cantSplit/>
        </w:trPr>
        <w:tc>
          <w:tcPr>
            <w:tcW w:type="dxa" w:w="135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roll-out, corrected</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0.895/0.102</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0.878/0.127</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0.866/0.143</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0.857/0.155</w:t>
            </w:r>
          </w:p>
        </w:tc>
      </w:tr>
      <w:tr>
        <w:trPr>
          <w:cantSplit/>
        </w:trPr>
        <w:tc>
          <w:tcPr>
            <w:tcW w:type="dxa" w:w="135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logistic regression</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0.915/0.086</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0.889/0.112</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0.867/0.132</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0.849/0.147</w:t>
            </w:r>
          </w:p>
        </w:tc>
      </w:tr>
      <w:tr>
        <w:trPr>
          <w:cantSplit/>
        </w:trPr>
        <w:tc>
          <w:tcPr>
            <w:tcW w:type="dxa" w:w="135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GBM, inventory</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0.922/0.084</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0.899/0.108</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0.881/0.126</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0.871/0.137</w:t>
            </w:r>
          </w:p>
        </w:tc>
      </w:tr>
      <w:tr>
        <w:trPr>
          <w:cantSplit/>
        </w:trPr>
        <w:tc>
          <w:tcPr>
            <w:tcW w:type="dxa" w:w="135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GBM + flows</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0.932/0.080</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0.917/0.100</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0.908/0.113</w:t>
            </w:r>
          </w:p>
        </w:tc>
        <w:tc>
          <w:tcPr>
            <w:tcW w:type="dxa" w:w="83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0.899/0.124</w:t>
            </w:r>
          </w:p>
        </w:tc>
      </w:tr>
      <w:tr>
        <w:trPr>
          <w:cantSplit/>
        </w:trPr>
        <w:tc>
          <w:tcPr>
            <w:tcW w:type="dxa" w:w="1357"/>
            <w:tcMar>
              <w:top w:type="dxa" w:w="14"/>
              <w:left w:type="dxa" w:w="50"/>
              <w:bottom w:type="dxa" w:w="14"/>
              <w:right w:type="dxa" w:w="50"/>
            </w:tcMar>
            <w:vAlign w:val="center"/>
          </w:tcPr>
          <w:p>
            <w:pPr>
              <w:keepNext w:val="false"/>
              <w:keepLines/>
              <w:spacing w:after="0" w:line="210"/>
              <w:jc w:val="left"/>
            </w:pPr>
            <w:r>
              <w:rPr>
                <w:rFonts w:ascii="Times New Roman" w:cs="Times New Roman" w:eastAsia="PMingLiU" w:hAnsi="Times New Roman"/>
                <w:b w:val="false"/>
                <w:bCs w:val="false"/>
                <w:color w:val="0000FF"/>
                <w:sz w:val="15"/>
                <w:szCs w:val="15"/>
              </w:rPr>
              <w:t xml:space="preserve">stacked GBM</w:t>
            </w:r>
          </w:p>
        </w:tc>
        <w:tc>
          <w:tcPr>
            <w:tcW w:type="dxa" w:w="830"/>
            <w:tcMar>
              <w:top w:type="dxa" w:w="14"/>
              <w:left w:type="dxa" w:w="50"/>
              <w:bottom w:type="dxa" w:w="14"/>
              <w:right w:type="dxa" w:w="50"/>
            </w:tcMar>
            <w:vAlign w:val="center"/>
          </w:tcPr>
          <w:p>
            <w:pPr>
              <w:keepNext w:val="false"/>
              <w:keepLines/>
              <w:spacing w:after="0" w:line="210"/>
              <w:jc w:val="center"/>
            </w:pPr>
            <w:r>
              <w:rPr>
                <w:rFonts w:ascii="Times New Roman" w:cs="Times New Roman" w:eastAsia="PMingLiU" w:hAnsi="Times New Roman"/>
                <w:b w:val="false"/>
                <w:bCs w:val="false"/>
                <w:color w:val="0000FF"/>
                <w:sz w:val="15"/>
                <w:szCs w:val="15"/>
              </w:rPr>
              <w:t xml:space="preserve">0.933/0.079</w:t>
            </w:r>
          </w:p>
        </w:tc>
        <w:tc>
          <w:tcPr>
            <w:tcW w:type="dxa" w:w="830"/>
            <w:tcMar>
              <w:top w:type="dxa" w:w="14"/>
              <w:left w:type="dxa" w:w="50"/>
              <w:bottom w:type="dxa" w:w="14"/>
              <w:right w:type="dxa" w:w="50"/>
            </w:tcMar>
            <w:vAlign w:val="center"/>
          </w:tcPr>
          <w:p>
            <w:pPr>
              <w:keepNext w:val="false"/>
              <w:keepLines/>
              <w:spacing w:after="0" w:line="210"/>
              <w:jc w:val="center"/>
            </w:pPr>
            <w:r>
              <w:rPr>
                <w:rFonts w:ascii="Times New Roman" w:cs="Times New Roman" w:eastAsia="PMingLiU" w:hAnsi="Times New Roman"/>
                <w:b w:val="false"/>
                <w:bCs w:val="false"/>
                <w:color w:val="0000FF"/>
                <w:sz w:val="15"/>
                <w:szCs w:val="15"/>
              </w:rPr>
              <w:t xml:space="preserve">0.919/0.099</w:t>
            </w:r>
          </w:p>
        </w:tc>
        <w:tc>
          <w:tcPr>
            <w:tcW w:type="dxa" w:w="830"/>
            <w:tcMar>
              <w:top w:type="dxa" w:w="14"/>
              <w:left w:type="dxa" w:w="50"/>
              <w:bottom w:type="dxa" w:w="14"/>
              <w:right w:type="dxa" w:w="50"/>
            </w:tcMar>
            <w:vAlign w:val="center"/>
          </w:tcPr>
          <w:p>
            <w:pPr>
              <w:keepNext w:val="false"/>
              <w:keepLines/>
              <w:spacing w:after="0" w:line="210"/>
              <w:jc w:val="center"/>
            </w:pPr>
            <w:r>
              <w:rPr>
                <w:rFonts w:ascii="Times New Roman" w:cs="Times New Roman" w:eastAsia="PMingLiU" w:hAnsi="Times New Roman"/>
                <w:b w:val="false"/>
                <w:bCs w:val="false"/>
                <w:color w:val="0000FF"/>
                <w:sz w:val="15"/>
                <w:szCs w:val="15"/>
              </w:rPr>
              <w:t xml:space="preserve">0.910/0.112</w:t>
            </w:r>
          </w:p>
        </w:tc>
        <w:tc>
          <w:tcPr>
            <w:tcW w:type="dxa" w:w="830"/>
            <w:tcMar>
              <w:top w:type="dxa" w:w="14"/>
              <w:left w:type="dxa" w:w="50"/>
              <w:bottom w:type="dxa" w:w="14"/>
              <w:right w:type="dxa" w:w="50"/>
            </w:tcMar>
            <w:vAlign w:val="center"/>
          </w:tcPr>
          <w:p>
            <w:pPr>
              <w:keepNext w:val="false"/>
              <w:keepLines/>
              <w:spacing w:after="0" w:line="210"/>
              <w:jc w:val="center"/>
            </w:pPr>
            <w:r>
              <w:rPr>
                <w:rFonts w:ascii="Times New Roman" w:cs="Times New Roman" w:eastAsia="PMingLiU" w:hAnsi="Times New Roman"/>
                <w:b w:val="false"/>
                <w:bCs w:val="false"/>
                <w:color w:val="0000FF"/>
                <w:sz w:val="15"/>
                <w:szCs w:val="15"/>
              </w:rPr>
              <w:t xml:space="preserve">0.902/0.122</w:t>
            </w:r>
          </w:p>
        </w:tc>
      </w:tr>
    </w:tbl>
    <w:p>
      <w:pPr>
        <w:spacing w:after="80" w:before="0" w:line="120"/>
      </w:pPr>
      <w:r>
        <w:rPr>
          <w:rFonts w:ascii="Times New Roman" w:cs="Times New Roman" w:eastAsia="PMingLiU" w:hAnsi="Times New Roman"/>
          <w:sz w:val="6"/>
          <w:szCs w:val="6"/>
        </w:rPr>
        <w:t xml:space="preserve"/>
      </w:r>
    </w:p>
    <w:p>
      <w:pPr>
        <w:spacing w:after="0" w:line="240"/>
        <w:ind w:firstLine="288"/>
        <w:jc w:val="both"/>
      </w:pPr>
      <w:r>
        <w:rPr>
          <w:rFonts w:ascii="Times New Roman" w:cs="Times New Roman" w:eastAsia="PMingLiU" w:hAnsi="Times New Roman"/>
          <w:color w:val="0000FF"/>
          <w:sz w:val="20"/>
          <w:szCs w:val="20"/>
        </w:rPr>
        <w:t xml:space="preserve">Every model loses accuracy as the horizon grows, at different rates (Table 4): from 30 to 120 min the full GBM falls from 0.932 to 0.899, the inventory-only GBM from 0.922 to 0.871, the logistic model from 0.915 to 0.849 and the roll-out from 0.895 to 0.857, while the seasonal baseline stays near 0.81. The current stock dominates at short horizons; for a two-hour view the recent trip flows are worth 0.028 AUC, three times their value at 30 min, and the roll-out overtakes the linear model. For a pre-bell plan made 60–90 minutes ahead the full model keeps AUC ≥ 0.90 and ECE ≤ 0.014.</w:t>
      </w:r>
    </w:p>
    <w:p>
      <w:pPr>
        <w:spacing w:after="0" w:line="240"/>
        <w:ind w:firstLine="288"/>
        <w:jc w:val="both"/>
      </w:pPr>
      <w:r>
        <w:rPr>
          <w:rFonts w:ascii="Times New Roman" w:cs="Times New Roman" w:eastAsia="PMingLiU" w:hAnsi="Times New Roman"/>
          <w:color w:val="0000FF"/>
          <w:sz w:val="20"/>
          <w:szCs w:val="20"/>
        </w:rPr>
        <w:t xml:space="preserve">By gain, the current stock (49%), its one-hour minimum (20%), the station id (8%) and the fill ratio (5%) dominate the 30-minute full model. The bell features contribute almost nothing: the ablation without group B changes AUC by at most 0.002 on every subset, including campus slots 0–30 min before a bell, because hour of day already encodes a fixed timetable. The hard cases are stations that are still well stocked 30 minutes before a bell (AUC 0.79 at h = 30); they remain the target of the second half, through a timetable-intensity feature from the course catalogue (classes ending at each period on each weekday) and a two-sided label that also predicts full stations.</w:t>
      </w:r>
    </w:p>
    <w:p>
      <w:pPr>
        <w:keepNext/>
        <w:spacing w:after="30" w:before="90" w:line="240"/>
      </w:pPr>
      <w:r>
        <w:rPr>
          <w:rFonts w:ascii="Times New Roman" w:cs="Times New Roman" w:eastAsia="PMingLiU" w:hAnsi="Times New Roman"/>
          <w:b/>
          <w:bCs/>
          <w:color w:val="0000FF"/>
          <w:sz w:val="22"/>
          <w:szCs w:val="22"/>
        </w:rPr>
        <w:t xml:space="preserve">3.5. Transfer to NSYSU</w:t>
      </w:r>
    </w:p>
    <w:p>
      <w:pPr>
        <w:spacing w:after="0" w:line="240"/>
        <w:ind w:firstLine="288"/>
        <w:jc w:val="both"/>
      </w:pPr>
      <w:r>
        <w:rPr>
          <w:rFonts w:ascii="Times New Roman" w:cs="Times New Roman" w:eastAsia="PMingLiU" w:hAnsi="Times New Roman"/>
          <w:color w:val="0000FF"/>
          <w:sz w:val="20"/>
          <w:szCs w:val="20"/>
        </w:rPr>
        <w:t xml:space="preserve">Table 5 shows that the inventory-only NTU model works at NSYSU without any local data: zero-shot AUC 0.934 on all 309 Kaohsiung stations and 0.944 on the 8 campus stations at h = 30, with Brier 0.049 / 0.068 and ECE 0.022 / 0.020. Fine-tuning on six NSYSU days adds 0.006 AUC and improves ECE to 0.003 on all stations; a model trained only on those six days is equally good (0.940), while the seasonal baseline from six days is poor (0.651). The proposal expected a zero-shot drop that local data would close; instead the dynamics of a station emptying generalize across cities almost perfectly, and the only transfer gap is in calibration, which six days of local data remove. At h = 60 the figures are 0.892 zero-shot and 0.906 fine-tuned. Station-day bootstrap intervals are about ±0.003 AUC on all stations and ±0.012 on campus; fine-tuning gains +0.006 [0.005, 0.007] on all stations but only +0.002 [−0.001, 0.003] on campus, so six test days do not separate the three learned models there.</w:t>
      </w:r>
    </w:p>
    <w:p>
      <w:pPr>
        <w:keepNext/>
        <w:keepLines/>
        <w:spacing w:after="50" w:before="100" w:line="220"/>
        <w:jc w:val="both"/>
      </w:pPr>
      <w:r>
        <w:rPr>
          <w:rFonts w:ascii="Times New Roman" w:cs="Times New Roman" w:eastAsia="PMingLiU" w:hAnsi="Times New Roman"/>
          <w:b/>
          <w:bCs/>
          <w:color w:val="0000FF"/>
          <w:sz w:val="17"/>
          <w:szCs w:val="17"/>
        </w:rPr>
        <w:t xml:space="preserve">Table 5. </w:t>
      </w:r>
      <w:r>
        <w:rPr>
          <w:rFonts w:ascii="Times New Roman" w:cs="Times New Roman" w:eastAsia="PMingLiU" w:hAnsi="Times New Roman"/>
          <w:color w:val="0000FF"/>
          <w:sz w:val="17"/>
          <w:szCs w:val="17"/>
        </w:rPr>
        <w:t xml:space="preserve">NSYSU test days (10–15 Oct 2026), h = 30 min; AUC/Brier.</w:t>
      </w:r>
    </w:p>
    <w:tbl>
      <w:tblPr>
        <w:tblW w:type="dxa" w:w="4677"/>
        <w:tblBorders>
          <w:top w:val="single" w:color="999999" w:sz="4"/>
          <w:left w:val="none" w:color="FFFFFF" w:sz="0"/>
          <w:bottom w:val="single" w:color="999999" w:sz="4"/>
          <w:right w:val="none" w:color="FFFFFF" w:sz="0"/>
          <w:insideH w:val="single" w:color="BBBBBB" w:sz="2"/>
          <w:insideV w:val="none" w:color="FFFFFF" w:sz="0"/>
        </w:tblBorders>
      </w:tblPr>
      <w:tblGrid>
        <w:gridCol w:w="1477"/>
        <w:gridCol w:w="1600"/>
        <w:gridCol w:w="1600"/>
      </w:tblGrid>
      <w:tr>
        <w:trPr>
          <w:cantSplit/>
          <w:tblHeader/>
        </w:trPr>
        <w:tc>
          <w:tcPr>
            <w:tcW w:type="dxa" w:w="1477"/>
            <w:shd w:fill="EDEDED" w:color="auto" w:val="clear"/>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bCs/>
                <w:color w:val="0000FF"/>
                <w:sz w:val="15"/>
                <w:szCs w:val="15"/>
              </w:rPr>
              <w:t xml:space="preserve">Model</w:t>
            </w:r>
          </w:p>
        </w:tc>
        <w:tc>
          <w:tcPr>
            <w:tcW w:type="dxa" w:w="1600"/>
            <w:shd w:fill="EDEDED" w:color="auto" w:val="clear"/>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bCs/>
                <w:color w:val="0000FF"/>
                <w:sz w:val="15"/>
                <w:szCs w:val="15"/>
              </w:rPr>
              <w:t xml:space="preserve">309 stations ≤ 5 km</w:t>
            </w:r>
          </w:p>
        </w:tc>
        <w:tc>
          <w:tcPr>
            <w:tcW w:type="dxa" w:w="1600"/>
            <w:shd w:fill="EDEDED" w:color="auto" w:val="clear"/>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bCs/>
                <w:color w:val="0000FF"/>
                <w:sz w:val="15"/>
                <w:szCs w:val="15"/>
              </w:rPr>
              <w:t xml:space="preserve">8 campus stations</w:t>
            </w:r>
          </w:p>
        </w:tc>
      </w:tr>
      <w:tr>
        <w:trPr>
          <w:cantSplit/>
        </w:trPr>
        <w:tc>
          <w:tcPr>
            <w:tcW w:type="dxa" w:w="14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persistence</w:t>
            </w:r>
          </w:p>
        </w:tc>
        <w:tc>
          <w:tcPr>
            <w:tcW w:type="dxa" w:w="16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0.738/0.061</w:t>
            </w:r>
          </w:p>
        </w:tc>
        <w:tc>
          <w:tcPr>
            <w:tcW w:type="dxa" w:w="16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0.742/0.104</w:t>
            </w:r>
          </w:p>
        </w:tc>
      </w:tr>
      <w:tr>
        <w:trPr>
          <w:cantSplit/>
        </w:trPr>
        <w:tc>
          <w:tcPr>
            <w:tcW w:type="dxa" w:w="14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seasonal, 6 NSYSU days</w:t>
            </w:r>
          </w:p>
        </w:tc>
        <w:tc>
          <w:tcPr>
            <w:tcW w:type="dxa" w:w="16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0.651/0.096</w:t>
            </w:r>
          </w:p>
        </w:tc>
        <w:tc>
          <w:tcPr>
            <w:tcW w:type="dxa" w:w="16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0.789/0.129</w:t>
            </w:r>
          </w:p>
        </w:tc>
      </w:tr>
      <w:tr>
        <w:trPr>
          <w:cantSplit/>
        </w:trPr>
        <w:tc>
          <w:tcPr>
            <w:tcW w:type="dxa" w:w="14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NTU model, zero-shot</w:t>
            </w:r>
          </w:p>
        </w:tc>
        <w:tc>
          <w:tcPr>
            <w:tcW w:type="dxa" w:w="16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0.934/0.049</w:t>
            </w:r>
          </w:p>
        </w:tc>
        <w:tc>
          <w:tcPr>
            <w:tcW w:type="dxa" w:w="16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0.944/0.068</w:t>
            </w:r>
          </w:p>
        </w:tc>
      </w:tr>
      <w:tr>
        <w:trPr>
          <w:cantSplit/>
        </w:trPr>
        <w:tc>
          <w:tcPr>
            <w:tcW w:type="dxa" w:w="14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NTU model + fine-tune</w:t>
            </w:r>
          </w:p>
        </w:tc>
        <w:tc>
          <w:tcPr>
            <w:tcW w:type="dxa" w:w="16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0.940/0.047</w:t>
            </w:r>
          </w:p>
        </w:tc>
        <w:tc>
          <w:tcPr>
            <w:tcW w:type="dxa" w:w="16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0.945/0.069</w:t>
            </w:r>
          </w:p>
        </w:tc>
      </w:tr>
      <w:tr>
        <w:trPr>
          <w:cantSplit/>
        </w:trPr>
        <w:tc>
          <w:tcPr>
            <w:tcW w:type="dxa" w:w="1477"/>
            <w:tcMar>
              <w:top w:type="dxa" w:w="14"/>
              <w:left w:type="dxa" w:w="50"/>
              <w:bottom w:type="dxa" w:w="14"/>
              <w:right w:type="dxa" w:w="50"/>
            </w:tcMar>
            <w:vAlign w:val="center"/>
          </w:tcPr>
          <w:p>
            <w:pPr>
              <w:keepNext w:val="false"/>
              <w:keepLines/>
              <w:spacing w:after="0" w:line="210"/>
              <w:jc w:val="left"/>
            </w:pPr>
            <w:r>
              <w:rPr>
                <w:rFonts w:ascii="Times New Roman" w:cs="Times New Roman" w:eastAsia="PMingLiU" w:hAnsi="Times New Roman"/>
                <w:b w:val="false"/>
                <w:bCs w:val="false"/>
                <w:color w:val="0000FF"/>
                <w:sz w:val="15"/>
                <w:szCs w:val="15"/>
              </w:rPr>
              <w:t xml:space="preserve">NSYSU-only, 6 days</w:t>
            </w:r>
          </w:p>
        </w:tc>
        <w:tc>
          <w:tcPr>
            <w:tcW w:type="dxa" w:w="1600"/>
            <w:tcMar>
              <w:top w:type="dxa" w:w="14"/>
              <w:left w:type="dxa" w:w="50"/>
              <w:bottom w:type="dxa" w:w="14"/>
              <w:right w:type="dxa" w:w="50"/>
            </w:tcMar>
            <w:vAlign w:val="center"/>
          </w:tcPr>
          <w:p>
            <w:pPr>
              <w:keepNext w:val="false"/>
              <w:keepLines/>
              <w:spacing w:after="0" w:line="210"/>
              <w:jc w:val="center"/>
            </w:pPr>
            <w:r>
              <w:rPr>
                <w:rFonts w:ascii="Times New Roman" w:cs="Times New Roman" w:eastAsia="PMingLiU" w:hAnsi="Times New Roman"/>
                <w:b w:val="false"/>
                <w:bCs w:val="false"/>
                <w:color w:val="0000FF"/>
                <w:sz w:val="15"/>
                <w:szCs w:val="15"/>
              </w:rPr>
              <w:t xml:space="preserve">0.940/0.047</w:t>
            </w:r>
          </w:p>
        </w:tc>
        <w:tc>
          <w:tcPr>
            <w:tcW w:type="dxa" w:w="1600"/>
            <w:tcMar>
              <w:top w:type="dxa" w:w="14"/>
              <w:left w:type="dxa" w:w="50"/>
              <w:bottom w:type="dxa" w:w="14"/>
              <w:right w:type="dxa" w:w="50"/>
            </w:tcMar>
            <w:vAlign w:val="center"/>
          </w:tcPr>
          <w:p>
            <w:pPr>
              <w:keepNext w:val="false"/>
              <w:keepLines/>
              <w:spacing w:after="0" w:line="210"/>
              <w:jc w:val="center"/>
            </w:pPr>
            <w:r>
              <w:rPr>
                <w:rFonts w:ascii="Times New Roman" w:cs="Times New Roman" w:eastAsia="PMingLiU" w:hAnsi="Times New Roman"/>
                <w:b w:val="false"/>
                <w:bCs w:val="false"/>
                <w:color w:val="0000FF"/>
                <w:sz w:val="15"/>
                <w:szCs w:val="15"/>
              </w:rPr>
              <w:t xml:space="preserve">0.942/0.069</w:t>
            </w:r>
          </w:p>
        </w:tc>
      </w:tr>
    </w:tbl>
    <w:p>
      <w:pPr>
        <w:spacing w:after="80" w:before="0" w:line="120"/>
      </w:pPr>
      <w:r>
        <w:rPr>
          <w:rFonts w:ascii="Times New Roman" w:cs="Times New Roman" w:eastAsia="PMingLiU" w:hAnsi="Times New Roman"/>
          <w:sz w:val="6"/>
          <w:szCs w:val="6"/>
        </w:rPr>
        <w:t xml:space="preserve"/>
      </w:r>
    </w:p>
    <w:p>
      <w:pPr>
        <w:keepNext/>
        <w:spacing w:after="30" w:before="90" w:line="240"/>
      </w:pPr>
      <w:r>
        <w:rPr>
          <w:rFonts w:ascii="Times New Roman" w:cs="Times New Roman" w:eastAsia="PMingLiU" w:hAnsi="Times New Roman"/>
          <w:b/>
          <w:bCs/>
          <w:color w:val="0000FF"/>
          <w:sz w:val="22"/>
          <w:szCs w:val="22"/>
        </w:rPr>
        <w:t xml:space="preserve">3.6. Replay simulation</w:t>
      </w:r>
    </w:p>
    <w:p>
      <w:pPr>
        <w:spacing w:after="0" w:line="240"/>
        <w:ind w:firstLine="288"/>
        <w:jc w:val="both"/>
      </w:pPr>
      <w:r>
        <w:rPr>
          <w:rFonts w:ascii="Times New Roman" w:cs="Times New Roman" w:eastAsia="PMingLiU" w:hAnsi="Times New Roman"/>
          <w:color w:val="0000FF"/>
          <w:sz w:val="20"/>
          <w:szCs w:val="20"/>
        </w:rPr>
        <w:t xml:space="preserve">Over the 28 replayed weekdays the area records 32,100 rentals per day; without rebalancing 3,390 of them (10.5%) find an empty station and the 144 stations spend 17,800 station-minutes empty per day. Table 6 gives the results per policy. One truck avoids 5–7% of unmet rentals with 55–67 km of driving; three trucks 16–17%; six trucks 25–27%. The probabilistic policy is best on every fleet size and the point-forecast policy worst, but the margins on unmet rentals are small. The clearest difference is in empty station-minutes, which the probabilistic and reactive policies cut by 41% with six trucks against 14% for the point policy, because the latter waits for a forecast deficit instead of acting on an empty station. Replaying the inferred operator moves, which inject about 5,100 bikes per day without any truck constraint, avoids 61%; it is an upper reference, not a policy. Paired per-day differences settle the ranking only in part: the probabilistic policy beats the point policy by 2.0–2.4 points of unmet rentals with every fleet size (95% intervals exclude zero) and by 5–27 points of empty minutes, but its margin over the reactive policy is 0.0–0.4 points with intervals of about ±0.7–1.0 that include zero.</w:t>
      </w:r>
    </w:p>
    <w:p>
      <w:pPr>
        <w:keepNext/>
        <w:keepLines/>
        <w:spacing w:after="50" w:before="100" w:line="220"/>
        <w:jc w:val="both"/>
      </w:pPr>
      <w:r>
        <w:rPr>
          <w:rFonts w:ascii="Times New Roman" w:cs="Times New Roman" w:eastAsia="PMingLiU" w:hAnsi="Times New Roman"/>
          <w:b/>
          <w:bCs/>
          <w:color w:val="0000FF"/>
          <w:sz w:val="17"/>
          <w:szCs w:val="17"/>
        </w:rPr>
        <w:t xml:space="preserve">Table 6. </w:t>
      </w:r>
      <w:r>
        <w:rPr>
          <w:rFonts w:ascii="Times New Roman" w:cs="Times New Roman" w:eastAsia="PMingLiU" w:hAnsi="Times New Roman"/>
          <w:color w:val="0000FF"/>
          <w:sz w:val="17"/>
          <w:szCs w:val="17"/>
        </w:rPr>
        <w:t xml:space="preserve">Replay of 28 NTU weekdays (Apr–Jun 2025), per-day means with K trucks; in brackets the reduction against no rebalancing; empty-min = station-minutes with no bike.</w:t>
      </w:r>
    </w:p>
    <w:tbl>
      <w:tblPr>
        <w:tblW w:type="dxa" w:w="4677"/>
        <w:tblBorders>
          <w:top w:val="single" w:color="999999" w:sz="4"/>
          <w:left w:val="none" w:color="FFFFFF" w:sz="0"/>
          <w:bottom w:val="single" w:color="999999" w:sz="4"/>
          <w:right w:val="none" w:color="FFFFFF" w:sz="0"/>
          <w:insideH w:val="single" w:color="BBBBBB" w:sz="2"/>
          <w:insideV w:val="none" w:color="FFFFFF" w:sz="0"/>
        </w:tblBorders>
      </w:tblPr>
      <w:tblGrid>
        <w:gridCol w:w="1137"/>
        <w:gridCol w:w="460"/>
        <w:gridCol w:w="1000"/>
        <w:gridCol w:w="1080"/>
        <w:gridCol w:w="540"/>
        <w:gridCol w:w="460"/>
      </w:tblGrid>
      <w:tr>
        <w:trPr>
          <w:cantSplit/>
          <w:tblHeader/>
        </w:trPr>
        <w:tc>
          <w:tcPr>
            <w:tcW w:type="dxa" w:w="1137"/>
            <w:shd w:fill="EDEDED" w:color="auto" w:val="clear"/>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bCs/>
                <w:color w:val="0000FF"/>
                <w:sz w:val="15"/>
                <w:szCs w:val="15"/>
              </w:rPr>
              <w:t xml:space="preserve">Policy</w:t>
            </w:r>
          </w:p>
        </w:tc>
        <w:tc>
          <w:tcPr>
            <w:tcW w:type="dxa" w:w="460"/>
            <w:shd w:fill="EDEDED" w:color="auto" w:val="clear"/>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bCs/>
                <w:color w:val="0000FF"/>
                <w:sz w:val="15"/>
                <w:szCs w:val="15"/>
              </w:rPr>
              <w:t xml:space="preserve">K</w:t>
            </w:r>
          </w:p>
        </w:tc>
        <w:tc>
          <w:tcPr>
            <w:tcW w:type="dxa" w:w="1000"/>
            <w:shd w:fill="EDEDED" w:color="auto" w:val="clear"/>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bCs/>
                <w:color w:val="0000FF"/>
                <w:sz w:val="15"/>
                <w:szCs w:val="15"/>
              </w:rPr>
              <w:t xml:space="preserve">unmet</w:t>
            </w:r>
          </w:p>
        </w:tc>
        <w:tc>
          <w:tcPr>
            <w:tcW w:type="dxa" w:w="1080"/>
            <w:shd w:fill="EDEDED" w:color="auto" w:val="clear"/>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bCs/>
                <w:color w:val="0000FF"/>
                <w:sz w:val="15"/>
                <w:szCs w:val="15"/>
              </w:rPr>
              <w:t xml:space="preserve">empty-min</w:t>
            </w:r>
          </w:p>
        </w:tc>
        <w:tc>
          <w:tcPr>
            <w:tcW w:type="dxa" w:w="540"/>
            <w:shd w:fill="EDEDED" w:color="auto" w:val="clear"/>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bCs/>
                <w:color w:val="0000FF"/>
                <w:sz w:val="15"/>
                <w:szCs w:val="15"/>
              </w:rPr>
              <w:t xml:space="preserve">moved</w:t>
            </w:r>
          </w:p>
        </w:tc>
        <w:tc>
          <w:tcPr>
            <w:tcW w:type="dxa" w:w="460"/>
            <w:shd w:fill="EDEDED" w:color="auto" w:val="clear"/>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bCs/>
                <w:color w:val="0000FF"/>
                <w:sz w:val="15"/>
                <w:szCs w:val="15"/>
              </w:rPr>
              <w:t xml:space="preserve">km</w:t>
            </w:r>
          </w:p>
        </w:tc>
      </w:tr>
      <w:tr>
        <w:trPr>
          <w:cantSplit/>
        </w:trPr>
        <w:tc>
          <w:tcPr>
            <w:tcW w:type="dxa" w:w="113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none</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w:t>
            </w:r>
          </w:p>
        </w:tc>
        <w:tc>
          <w:tcPr>
            <w:tcW w:type="dxa" w:w="10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3,389</w:t>
            </w:r>
          </w:p>
        </w:tc>
        <w:tc>
          <w:tcPr>
            <w:tcW w:type="dxa" w:w="108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17,793</w:t>
            </w:r>
          </w:p>
        </w:tc>
        <w:tc>
          <w:tcPr>
            <w:tcW w:type="dxa" w:w="54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0</w:t>
            </w:r>
          </w:p>
        </w:tc>
      </w:tr>
      <w:tr>
        <w:trPr>
          <w:cantSplit/>
        </w:trPr>
        <w:tc>
          <w:tcPr>
            <w:tcW w:type="dxa" w:w="113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reactive</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1</w:t>
            </w:r>
          </w:p>
        </w:tc>
        <w:tc>
          <w:tcPr>
            <w:tcW w:type="dxa" w:w="10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3,139 (−7%)</w:t>
            </w:r>
          </w:p>
        </w:tc>
        <w:tc>
          <w:tcPr>
            <w:tcW w:type="dxa" w:w="108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16,300 (−8%)</w:t>
            </w:r>
          </w:p>
        </w:tc>
        <w:tc>
          <w:tcPr>
            <w:tcW w:type="dxa" w:w="54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842</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65</w:t>
            </w:r>
          </w:p>
        </w:tc>
      </w:tr>
      <w:tr>
        <w:trPr>
          <w:cantSplit/>
        </w:trPr>
        <w:tc>
          <w:tcPr>
            <w:tcW w:type="dxa" w:w="113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point forecast</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1</w:t>
            </w:r>
          </w:p>
        </w:tc>
        <w:tc>
          <w:tcPr>
            <w:tcW w:type="dxa" w:w="10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3,209 (−5%)</w:t>
            </w:r>
          </w:p>
        </w:tc>
        <w:tc>
          <w:tcPr>
            <w:tcW w:type="dxa" w:w="108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17,280 (−3%)</w:t>
            </w:r>
          </w:p>
        </w:tc>
        <w:tc>
          <w:tcPr>
            <w:tcW w:type="dxa" w:w="54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944</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55</w:t>
            </w:r>
          </w:p>
        </w:tc>
      </w:tr>
      <w:tr>
        <w:trPr>
          <w:cantSplit/>
        </w:trPr>
        <w:tc>
          <w:tcPr>
            <w:tcW w:type="dxa" w:w="113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probabilistic</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1</w:t>
            </w:r>
          </w:p>
        </w:tc>
        <w:tc>
          <w:tcPr>
            <w:tcW w:type="dxa" w:w="10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3,135 (−7%)</w:t>
            </w:r>
          </w:p>
        </w:tc>
        <w:tc>
          <w:tcPr>
            <w:tcW w:type="dxa" w:w="108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16,527 (−7%)</w:t>
            </w:r>
          </w:p>
        </w:tc>
        <w:tc>
          <w:tcPr>
            <w:tcW w:type="dxa" w:w="54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883</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67</w:t>
            </w:r>
          </w:p>
        </w:tc>
      </w:tr>
      <w:tr>
        <w:trPr>
          <w:cantSplit/>
        </w:trPr>
        <w:tc>
          <w:tcPr>
            <w:tcW w:type="dxa" w:w="113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reactive</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3</w:t>
            </w:r>
          </w:p>
        </w:tc>
        <w:tc>
          <w:tcPr>
            <w:tcW w:type="dxa" w:w="10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2,820 (−17%)</w:t>
            </w:r>
          </w:p>
        </w:tc>
        <w:tc>
          <w:tcPr>
            <w:tcW w:type="dxa" w:w="108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13,743 (−23%)</w:t>
            </w:r>
          </w:p>
        </w:tc>
        <w:tc>
          <w:tcPr>
            <w:tcW w:type="dxa" w:w="54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1,995</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214</w:t>
            </w:r>
          </w:p>
        </w:tc>
      </w:tr>
      <w:tr>
        <w:trPr>
          <w:cantSplit/>
        </w:trPr>
        <w:tc>
          <w:tcPr>
            <w:tcW w:type="dxa" w:w="113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point forecast</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3</w:t>
            </w:r>
          </w:p>
        </w:tc>
        <w:tc>
          <w:tcPr>
            <w:tcW w:type="dxa" w:w="10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2,863 (−16%)</w:t>
            </w:r>
          </w:p>
        </w:tc>
        <w:tc>
          <w:tcPr>
            <w:tcW w:type="dxa" w:w="108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16,450 (−8%)</w:t>
            </w:r>
          </w:p>
        </w:tc>
        <w:tc>
          <w:tcPr>
            <w:tcW w:type="dxa" w:w="54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2,374</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192</w:t>
            </w:r>
          </w:p>
        </w:tc>
      </w:tr>
      <w:tr>
        <w:trPr>
          <w:cantSplit/>
        </w:trPr>
        <w:tc>
          <w:tcPr>
            <w:tcW w:type="dxa" w:w="113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probabilistic</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3</w:t>
            </w:r>
          </w:p>
        </w:tc>
        <w:tc>
          <w:tcPr>
            <w:tcW w:type="dxa" w:w="10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2,806 (−17%)</w:t>
            </w:r>
          </w:p>
        </w:tc>
        <w:tc>
          <w:tcPr>
            <w:tcW w:type="dxa" w:w="108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13,860 (−22%)</w:t>
            </w:r>
          </w:p>
        </w:tc>
        <w:tc>
          <w:tcPr>
            <w:tcW w:type="dxa" w:w="54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2,139</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223</w:t>
            </w:r>
          </w:p>
        </w:tc>
      </w:tr>
      <w:tr>
        <w:trPr>
          <w:cantSplit/>
        </w:trPr>
        <w:tc>
          <w:tcPr>
            <w:tcW w:type="dxa" w:w="113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reactive</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6</w:t>
            </w:r>
          </w:p>
        </w:tc>
        <w:tc>
          <w:tcPr>
            <w:tcW w:type="dxa" w:w="10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2,496 (−26%)</w:t>
            </w:r>
          </w:p>
        </w:tc>
        <w:tc>
          <w:tcPr>
            <w:tcW w:type="dxa" w:w="108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10,503 (−41%)</w:t>
            </w:r>
          </w:p>
        </w:tc>
        <w:tc>
          <w:tcPr>
            <w:tcW w:type="dxa" w:w="54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2,876</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425</w:t>
            </w:r>
          </w:p>
        </w:tc>
      </w:tr>
      <w:tr>
        <w:trPr>
          <w:cantSplit/>
        </w:trPr>
        <w:tc>
          <w:tcPr>
            <w:tcW w:type="dxa" w:w="113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point forecast</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6</w:t>
            </w:r>
          </w:p>
        </w:tc>
        <w:tc>
          <w:tcPr>
            <w:tcW w:type="dxa" w:w="10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2,543 (−25%)</w:t>
            </w:r>
          </w:p>
        </w:tc>
        <w:tc>
          <w:tcPr>
            <w:tcW w:type="dxa" w:w="108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15,269 (−14%)</w:t>
            </w:r>
          </w:p>
        </w:tc>
        <w:tc>
          <w:tcPr>
            <w:tcW w:type="dxa" w:w="54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3,566</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396</w:t>
            </w:r>
          </w:p>
        </w:tc>
      </w:tr>
      <w:tr>
        <w:trPr>
          <w:cantSplit/>
        </w:trPr>
        <w:tc>
          <w:tcPr>
            <w:tcW w:type="dxa" w:w="113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probabilistic</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6</w:t>
            </w:r>
          </w:p>
        </w:tc>
        <w:tc>
          <w:tcPr>
            <w:tcW w:type="dxa" w:w="100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2,489 (−27%)</w:t>
            </w:r>
          </w:p>
        </w:tc>
        <w:tc>
          <w:tcPr>
            <w:tcW w:type="dxa" w:w="108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10,529 (−41%)</w:t>
            </w:r>
          </w:p>
        </w:tc>
        <w:tc>
          <w:tcPr>
            <w:tcW w:type="dxa" w:w="54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3,166</w:t>
            </w:r>
          </w:p>
        </w:tc>
        <w:tc>
          <w:tcPr>
            <w:tcW w:type="dxa" w:w="460"/>
            <w:tcMar>
              <w:top w:type="dxa" w:w="14"/>
              <w:left w:type="dxa" w:w="50"/>
              <w:bottom w:type="dxa" w:w="14"/>
              <w:right w:type="dxa" w:w="50"/>
            </w:tcMar>
            <w:vAlign w:val="center"/>
          </w:tcPr>
          <w:p>
            <w:pPr>
              <w:keepNext/>
              <w:keepLines/>
              <w:spacing w:after="0" w:line="210"/>
              <w:jc w:val="center"/>
            </w:pPr>
            <w:r>
              <w:rPr>
                <w:rFonts w:ascii="Times New Roman" w:cs="Times New Roman" w:eastAsia="PMingLiU" w:hAnsi="Times New Roman"/>
                <w:b w:val="false"/>
                <w:bCs w:val="false"/>
                <w:color w:val="0000FF"/>
                <w:sz w:val="15"/>
                <w:szCs w:val="15"/>
              </w:rPr>
              <w:t xml:space="preserve">456</w:t>
            </w:r>
          </w:p>
        </w:tc>
      </w:tr>
      <w:tr>
        <w:trPr>
          <w:cantSplit/>
        </w:trPr>
        <w:tc>
          <w:tcPr>
            <w:tcW w:type="dxa" w:w="1137"/>
            <w:tcMar>
              <w:top w:type="dxa" w:w="14"/>
              <w:left w:type="dxa" w:w="50"/>
              <w:bottom w:type="dxa" w:w="14"/>
              <w:right w:type="dxa" w:w="50"/>
            </w:tcMar>
            <w:vAlign w:val="center"/>
          </w:tcPr>
          <w:p>
            <w:pPr>
              <w:keepNext w:val="false"/>
              <w:keepLines/>
              <w:spacing w:after="0" w:line="210"/>
              <w:jc w:val="left"/>
            </w:pPr>
            <w:r>
              <w:rPr>
                <w:rFonts w:ascii="Times New Roman" w:cs="Times New Roman" w:eastAsia="PMingLiU" w:hAnsi="Times New Roman"/>
                <w:b w:val="false"/>
                <w:bCs w:val="false"/>
                <w:color w:val="0000FF"/>
                <w:sz w:val="15"/>
                <w:szCs w:val="15"/>
              </w:rPr>
              <w:t xml:space="preserve">operator replay</w:t>
            </w:r>
          </w:p>
        </w:tc>
        <w:tc>
          <w:tcPr>
            <w:tcW w:type="dxa" w:w="460"/>
            <w:tcMar>
              <w:top w:type="dxa" w:w="14"/>
              <w:left w:type="dxa" w:w="50"/>
              <w:bottom w:type="dxa" w:w="14"/>
              <w:right w:type="dxa" w:w="50"/>
            </w:tcMar>
            <w:vAlign w:val="center"/>
          </w:tcPr>
          <w:p>
            <w:pPr>
              <w:keepNext w:val="false"/>
              <w:keepLines/>
              <w:spacing w:after="0" w:line="210"/>
              <w:jc w:val="center"/>
            </w:pPr>
            <w:r>
              <w:rPr>
                <w:rFonts w:ascii="Times New Roman" w:cs="Times New Roman" w:eastAsia="PMingLiU" w:hAnsi="Times New Roman"/>
                <w:b w:val="false"/>
                <w:bCs w:val="false"/>
                <w:color w:val="0000FF"/>
                <w:sz w:val="15"/>
                <w:szCs w:val="15"/>
              </w:rPr>
              <w:t xml:space="preserve">–</w:t>
            </w:r>
          </w:p>
        </w:tc>
        <w:tc>
          <w:tcPr>
            <w:tcW w:type="dxa" w:w="1000"/>
            <w:tcMar>
              <w:top w:type="dxa" w:w="14"/>
              <w:left w:type="dxa" w:w="50"/>
              <w:bottom w:type="dxa" w:w="14"/>
              <w:right w:type="dxa" w:w="50"/>
            </w:tcMar>
            <w:vAlign w:val="center"/>
          </w:tcPr>
          <w:p>
            <w:pPr>
              <w:keepNext w:val="false"/>
              <w:keepLines/>
              <w:spacing w:after="0" w:line="210"/>
              <w:jc w:val="center"/>
            </w:pPr>
            <w:r>
              <w:rPr>
                <w:rFonts w:ascii="Times New Roman" w:cs="Times New Roman" w:eastAsia="PMingLiU" w:hAnsi="Times New Roman"/>
                <w:b w:val="false"/>
                <w:bCs w:val="false"/>
                <w:color w:val="0000FF"/>
                <w:sz w:val="15"/>
                <w:szCs w:val="15"/>
              </w:rPr>
              <w:t xml:space="preserve">1,337 (−61%)</w:t>
            </w:r>
          </w:p>
        </w:tc>
        <w:tc>
          <w:tcPr>
            <w:tcW w:type="dxa" w:w="1080"/>
            <w:tcMar>
              <w:top w:type="dxa" w:w="14"/>
              <w:left w:type="dxa" w:w="50"/>
              <w:bottom w:type="dxa" w:w="14"/>
              <w:right w:type="dxa" w:w="50"/>
            </w:tcMar>
            <w:vAlign w:val="center"/>
          </w:tcPr>
          <w:p>
            <w:pPr>
              <w:keepNext w:val="false"/>
              <w:keepLines/>
              <w:spacing w:after="0" w:line="210"/>
              <w:jc w:val="center"/>
            </w:pPr>
            <w:r>
              <w:rPr>
                <w:rFonts w:ascii="Times New Roman" w:cs="Times New Roman" w:eastAsia="PMingLiU" w:hAnsi="Times New Roman"/>
                <w:b w:val="false"/>
                <w:bCs w:val="false"/>
                <w:color w:val="0000FF"/>
                <w:sz w:val="15"/>
                <w:szCs w:val="15"/>
              </w:rPr>
              <w:t xml:space="preserve">9,448 (−47%)</w:t>
            </w:r>
          </w:p>
        </w:tc>
        <w:tc>
          <w:tcPr>
            <w:tcW w:type="dxa" w:w="540"/>
            <w:tcMar>
              <w:top w:type="dxa" w:w="14"/>
              <w:left w:type="dxa" w:w="50"/>
              <w:bottom w:type="dxa" w:w="14"/>
              <w:right w:type="dxa" w:w="50"/>
            </w:tcMar>
            <w:vAlign w:val="center"/>
          </w:tcPr>
          <w:p>
            <w:pPr>
              <w:keepNext w:val="false"/>
              <w:keepLines/>
              <w:spacing w:after="0" w:line="210"/>
              <w:jc w:val="center"/>
            </w:pPr>
            <w:r>
              <w:rPr>
                <w:rFonts w:ascii="Times New Roman" w:cs="Times New Roman" w:eastAsia="PMingLiU" w:hAnsi="Times New Roman"/>
                <w:b w:val="false"/>
                <w:bCs w:val="false"/>
                <w:color w:val="0000FF"/>
                <w:sz w:val="15"/>
                <w:szCs w:val="15"/>
              </w:rPr>
              <w:t xml:space="preserve">5,121</w:t>
            </w:r>
          </w:p>
        </w:tc>
        <w:tc>
          <w:tcPr>
            <w:tcW w:type="dxa" w:w="460"/>
            <w:tcMar>
              <w:top w:type="dxa" w:w="14"/>
              <w:left w:type="dxa" w:w="50"/>
              <w:bottom w:type="dxa" w:w="14"/>
              <w:right w:type="dxa" w:w="50"/>
            </w:tcMar>
            <w:vAlign w:val="center"/>
          </w:tcPr>
          <w:p>
            <w:pPr>
              <w:keepNext w:val="false"/>
              <w:keepLines/>
              <w:spacing w:after="0" w:line="210"/>
              <w:jc w:val="center"/>
            </w:pPr>
            <w:r>
              <w:rPr>
                <w:rFonts w:ascii="Times New Roman" w:cs="Times New Roman" w:eastAsia="PMingLiU" w:hAnsi="Times New Roman"/>
                <w:b w:val="false"/>
                <w:bCs w:val="false"/>
                <w:color w:val="0000FF"/>
                <w:sz w:val="15"/>
                <w:szCs w:val="15"/>
              </w:rPr>
              <w:t xml:space="preserve">–</w:t>
            </w:r>
          </w:p>
        </w:tc>
      </w:tr>
    </w:tbl>
    <w:p>
      <w:pPr>
        <w:spacing w:after="80" w:before="0" w:line="120"/>
      </w:pPr>
      <w:r>
        <w:rPr>
          <w:rFonts w:ascii="Times New Roman" w:cs="Times New Roman" w:eastAsia="PMingLiU" w:hAnsi="Times New Roman"/>
          <w:sz w:val="6"/>
          <w:szCs w:val="6"/>
        </w:rPr>
        <w:t xml:space="preserve"/>
      </w:r>
    </w:p>
    <w:p>
      <w:pPr>
        <w:spacing w:after="0" w:line="240"/>
        <w:ind w:firstLine="288"/>
        <w:jc w:val="both"/>
      </w:pPr>
      <w:r>
        <w:rPr>
          <w:rFonts w:ascii="Times New Roman" w:cs="Times New Roman" w:eastAsia="PMingLiU" w:hAnsi="Times New Roman"/>
          <w:color w:val="0000FF"/>
          <w:sz w:val="20"/>
          <w:szCs w:val="20"/>
        </w:rPr>
        <w:t xml:space="preserve">The ranking shows that at this stage the forecast is not the bottleneck: Algorithm 1 serves one target per truck at a time, cannot combine a pick-up with several drop-offs, and ignores the deadline structure of the bells. The rolling-horizon route search planned for November attacks exactly this, and the simulator now gives it a fixed benchmark.</w:t>
      </w:r>
    </w:p>
    <w:p>
      <w:pPr>
        <w:keepNext/>
        <w:spacing w:after="40" w:before="120" w:line="240"/>
      </w:pPr>
      <w:r>
        <w:rPr>
          <w:rFonts w:ascii="Times New Roman" w:cs="Times New Roman" w:eastAsia="PMingLiU" w:hAnsi="Times New Roman"/>
          <w:b/>
          <w:bCs/>
          <w:color w:val="0000FF"/>
          <w:sz w:val="24"/>
          <w:szCs w:val="24"/>
        </w:rPr>
        <w:t xml:space="preserve">4. Progress, risks and next steps</w:t>
      </w:r>
    </w:p>
    <w:p>
      <w:pPr>
        <w:spacing w:after="0" w:line="240"/>
        <w:ind w:firstLine="288"/>
        <w:jc w:val="both"/>
      </w:pPr>
      <w:r>
        <w:rPr>
          <w:rFonts w:ascii="Times New Roman" w:cs="Times New Roman" w:eastAsia="PMingLiU" w:hAnsi="Times New Roman"/>
          <w:color w:val="0000FF"/>
          <w:sz w:val="20"/>
          <w:szCs w:val="20"/>
        </w:rPr>
        <w:t xml:space="preserve">Table 7 sets the numbers the proposal expected against what the midterm experiments gave. The predictor met every target, and transfer was easier than expected. The simulator numbers fall short of the proposal’s 50%, for three reasons that the next phase addresses: the planner is the greedy initial solution without route search; the replay contains only recorded rentals, so the demand that was lost at empty stations, which rebalancing would serve, is not yet counted; and the operator reference injects bikes without any truck constraint.</w:t>
      </w:r>
    </w:p>
    <w:p>
      <w:pPr>
        <w:keepNext/>
        <w:keepLines/>
        <w:spacing w:after="50" w:before="100" w:line="220"/>
        <w:jc w:val="both"/>
      </w:pPr>
      <w:r>
        <w:rPr>
          <w:rFonts w:ascii="Times New Roman" w:cs="Times New Roman" w:eastAsia="PMingLiU" w:hAnsi="Times New Roman"/>
          <w:b/>
          <w:bCs/>
          <w:color w:val="0000FF"/>
          <w:sz w:val="17"/>
          <w:szCs w:val="17"/>
        </w:rPr>
        <w:t xml:space="preserve">Table 7. </w:t>
      </w:r>
      <w:r>
        <w:rPr>
          <w:rFonts w:ascii="Times New Roman" w:cs="Times New Roman" w:eastAsia="PMingLiU" w:hAnsi="Times New Roman"/>
          <w:color w:val="0000FF"/>
          <w:sz w:val="17"/>
          <w:szCs w:val="17"/>
        </w:rPr>
        <w:t xml:space="preserve">Proposal expectations (HW1, Sec. 3) against midterm results.</w:t>
      </w:r>
    </w:p>
    <w:tbl>
      <w:tblPr>
        <w:tblW w:type="dxa" w:w="4677"/>
        <w:tblBorders>
          <w:top w:val="single" w:color="999999" w:sz="4"/>
          <w:left w:val="none" w:color="FFFFFF" w:sz="0"/>
          <w:bottom w:val="single" w:color="999999" w:sz="4"/>
          <w:right w:val="none" w:color="FFFFFF" w:sz="0"/>
          <w:insideH w:val="single" w:color="BBBBBB" w:sz="2"/>
          <w:insideV w:val="none" w:color="FFFFFF" w:sz="0"/>
        </w:tblBorders>
      </w:tblPr>
      <w:tblGrid>
        <w:gridCol w:w="1877"/>
        <w:gridCol w:w="1300"/>
        <w:gridCol w:w="1500"/>
      </w:tblGrid>
      <w:tr>
        <w:trPr>
          <w:cantSplit/>
          <w:tblHeader/>
        </w:trPr>
        <w:tc>
          <w:tcPr>
            <w:tcW w:type="dxa" w:w="1877"/>
            <w:shd w:fill="EDEDED" w:color="auto" w:val="clear"/>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bCs/>
                <w:color w:val="0000FF"/>
                <w:sz w:val="15"/>
                <w:szCs w:val="15"/>
              </w:rPr>
              <w:t xml:space="preserve">Quantity</w:t>
            </w:r>
          </w:p>
        </w:tc>
        <w:tc>
          <w:tcPr>
            <w:tcW w:type="dxa" w:w="1300"/>
            <w:shd w:fill="EDEDED" w:color="auto" w:val="clear"/>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bCs/>
                <w:color w:val="0000FF"/>
                <w:sz w:val="15"/>
                <w:szCs w:val="15"/>
              </w:rPr>
              <w:t xml:space="preserve">Expected (HW1)</w:t>
            </w:r>
          </w:p>
        </w:tc>
        <w:tc>
          <w:tcPr>
            <w:tcW w:type="dxa" w:w="1500"/>
            <w:shd w:fill="EDEDED" w:color="auto" w:val="clear"/>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bCs/>
                <w:color w:val="0000FF"/>
                <w:sz w:val="15"/>
                <w:szCs w:val="15"/>
              </w:rPr>
              <w:t xml:space="preserve">Midterm</w:t>
            </w:r>
          </w:p>
        </w:tc>
      </w:tr>
      <w:tr>
        <w:trPr>
          <w:cantSplit/>
        </w:trPr>
        <w:tc>
          <w:tcPr>
            <w:tcW w:type="dxa" w:w="18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Predictor AUC, h = 30 min</w:t>
            </w:r>
          </w:p>
        </w:tc>
        <w:tc>
          <w:tcPr>
            <w:tcW w:type="dxa" w:w="13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&gt; 0.85</w:t>
            </w:r>
          </w:p>
        </w:tc>
        <w:tc>
          <w:tcPr>
            <w:tcW w:type="dxa" w:w="15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0.93 (NTU), 0.93 (NSYSU zero-shot); 0.90 at 120 min</w:t>
            </w:r>
          </w:p>
        </w:tc>
      </w:tr>
      <w:tr>
        <w:trPr>
          <w:cantSplit/>
        </w:trPr>
        <w:tc>
          <w:tcPr>
            <w:tcW w:type="dxa" w:w="18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Poisson + Monte-Carlo roll-out</w:t>
            </w:r>
          </w:p>
        </w:tc>
        <w:tc>
          <w:tcPr>
            <w:tcW w:type="dxa" w:w="13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the predictor of Sec. 2.4</w:t>
            </w:r>
          </w:p>
        </w:tc>
        <w:tc>
          <w:tcPr>
            <w:tcW w:type="dxa" w:w="15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built exactly; AUC 0.895, so the classifier (0.922–0.932) is used</w:t>
            </w:r>
          </w:p>
        </w:tc>
      </w:tr>
      <w:tr>
        <w:trPr>
          <w:cantSplit/>
        </w:trPr>
        <w:tc>
          <w:tcPr>
            <w:tcW w:type="dxa" w:w="18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Predictor ECE, h = 30 min</w:t>
            </w:r>
          </w:p>
        </w:tc>
        <w:tc>
          <w:tcPr>
            <w:tcW w:type="dxa" w:w="13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&lt; 0.05</w:t>
            </w:r>
          </w:p>
        </w:tc>
        <w:tc>
          <w:tcPr>
            <w:tcW w:type="dxa" w:w="15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0.012 (NTU), 0.022 (NSYSU zero-shot)</w:t>
            </w:r>
          </w:p>
        </w:tc>
      </w:tr>
      <w:tr>
        <w:trPr>
          <w:cantSplit/>
        </w:trPr>
        <w:tc>
          <w:tcPr>
            <w:tcW w:type="dxa" w:w="18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NSYSU transfer</w:t>
            </w:r>
          </w:p>
        </w:tc>
        <w:tc>
          <w:tcPr>
            <w:tcW w:type="dxa" w:w="13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zero-shot drop, closed within 5 AUC points after 2–4 weeks</w:t>
            </w:r>
          </w:p>
        </w:tc>
        <w:tc>
          <w:tcPr>
            <w:tcW w:type="dxa" w:w="15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no drop: 0.934 zero-shot vs. 0.940 with 6 local days</w:t>
            </w:r>
          </w:p>
        </w:tc>
      </w:tr>
      <w:tr>
        <w:trPr>
          <w:cantSplit/>
        </w:trPr>
        <w:tc>
          <w:tcPr>
            <w:tcW w:type="dxa" w:w="18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Unmet rentals avoided, reactive</w:t>
            </w:r>
          </w:p>
        </w:tc>
        <w:tc>
          <w:tcPr>
            <w:tcW w:type="dxa" w:w="13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about 20%</w:t>
            </w:r>
          </w:p>
        </w:tc>
        <w:tc>
          <w:tcPr>
            <w:tcW w:type="dxa" w:w="15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7% / 17% / 26% with 1 / 3 / 6 trucks</w:t>
            </w:r>
          </w:p>
        </w:tc>
      </w:tr>
      <w:tr>
        <w:trPr>
          <w:cantSplit/>
        </w:trPr>
        <w:tc>
          <w:tcPr>
            <w:tcW w:type="dxa" w:w="1877"/>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Unmet rentals avoided, point forecast</w:t>
            </w:r>
          </w:p>
        </w:tc>
        <w:tc>
          <w:tcPr>
            <w:tcW w:type="dxa" w:w="13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about 40%</w:t>
            </w:r>
          </w:p>
        </w:tc>
        <w:tc>
          <w:tcPr>
            <w:tcW w:type="dxa" w:w="1500"/>
            <w:tcMar>
              <w:top w:type="dxa" w:w="14"/>
              <w:left w:type="dxa" w:w="50"/>
              <w:bottom w:type="dxa" w:w="14"/>
              <w:right w:type="dxa" w:w="50"/>
            </w:tcMar>
            <w:vAlign w:val="center"/>
          </w:tcPr>
          <w:p>
            <w:pPr>
              <w:keepNext/>
              <w:keepLines/>
              <w:spacing w:after="0" w:line="210"/>
              <w:jc w:val="left"/>
            </w:pPr>
            <w:r>
              <w:rPr>
                <w:rFonts w:ascii="Times New Roman" w:cs="Times New Roman" w:eastAsia="PMingLiU" w:hAnsi="Times New Roman"/>
                <w:b w:val="false"/>
                <w:bCs w:val="false"/>
                <w:color w:val="0000FF"/>
                <w:sz w:val="15"/>
                <w:szCs w:val="15"/>
              </w:rPr>
              <w:t xml:space="preserve">5% / 16% / 25%</w:t>
            </w:r>
          </w:p>
        </w:tc>
      </w:tr>
      <w:tr>
        <w:trPr>
          <w:cantSplit/>
        </w:trPr>
        <w:tc>
          <w:tcPr>
            <w:tcW w:type="dxa" w:w="1877"/>
            <w:tcMar>
              <w:top w:type="dxa" w:w="14"/>
              <w:left w:type="dxa" w:w="50"/>
              <w:bottom w:type="dxa" w:w="14"/>
              <w:right w:type="dxa" w:w="50"/>
            </w:tcMar>
            <w:vAlign w:val="center"/>
          </w:tcPr>
          <w:p>
            <w:pPr>
              <w:keepNext w:val="false"/>
              <w:keepLines/>
              <w:spacing w:after="0" w:line="210"/>
              <w:jc w:val="left"/>
            </w:pPr>
            <w:r>
              <w:rPr>
                <w:rFonts w:ascii="Times New Roman" w:cs="Times New Roman" w:eastAsia="PMingLiU" w:hAnsi="Times New Roman"/>
                <w:b w:val="false"/>
                <w:bCs w:val="false"/>
                <w:color w:val="0000FF"/>
                <w:sz w:val="15"/>
                <w:szCs w:val="15"/>
              </w:rPr>
              <w:t xml:space="preserve">Unmet rentals avoided, probabilistic</w:t>
            </w:r>
          </w:p>
        </w:tc>
        <w:tc>
          <w:tcPr>
            <w:tcW w:type="dxa" w:w="1300"/>
            <w:tcMar>
              <w:top w:type="dxa" w:w="14"/>
              <w:left w:type="dxa" w:w="50"/>
              <w:bottom w:type="dxa" w:w="14"/>
              <w:right w:type="dxa" w:w="50"/>
            </w:tcMar>
            <w:vAlign w:val="center"/>
          </w:tcPr>
          <w:p>
            <w:pPr>
              <w:keepNext w:val="false"/>
              <w:keepLines/>
              <w:spacing w:after="0" w:line="210"/>
              <w:jc w:val="left"/>
            </w:pPr>
            <w:r>
              <w:rPr>
                <w:rFonts w:ascii="Times New Roman" w:cs="Times New Roman" w:eastAsia="PMingLiU" w:hAnsi="Times New Roman"/>
                <w:b w:val="false"/>
                <w:bCs w:val="false"/>
                <w:color w:val="0000FF"/>
                <w:sz w:val="15"/>
                <w:szCs w:val="15"/>
              </w:rPr>
              <w:t xml:space="preserve">about 50%</w:t>
            </w:r>
          </w:p>
        </w:tc>
        <w:tc>
          <w:tcPr>
            <w:tcW w:type="dxa" w:w="1500"/>
            <w:tcMar>
              <w:top w:type="dxa" w:w="14"/>
              <w:left w:type="dxa" w:w="50"/>
              <w:bottom w:type="dxa" w:w="14"/>
              <w:right w:type="dxa" w:w="50"/>
            </w:tcMar>
            <w:vAlign w:val="center"/>
          </w:tcPr>
          <w:p>
            <w:pPr>
              <w:keepNext w:val="false"/>
              <w:keepLines/>
              <w:spacing w:after="0" w:line="210"/>
              <w:jc w:val="left"/>
            </w:pPr>
            <w:r>
              <w:rPr>
                <w:rFonts w:ascii="Times New Roman" w:cs="Times New Roman" w:eastAsia="PMingLiU" w:hAnsi="Times New Roman"/>
                <w:b w:val="false"/>
                <w:bCs w:val="false"/>
                <w:color w:val="0000FF"/>
                <w:sz w:val="15"/>
                <w:szCs w:val="15"/>
              </w:rPr>
              <w:t xml:space="preserve">7% / 17% / 27%; operator replay 61%</w:t>
            </w:r>
          </w:p>
        </w:tc>
      </w:tr>
    </w:tbl>
    <w:p>
      <w:pPr>
        <w:spacing w:after="80" w:before="0" w:line="120"/>
      </w:pPr>
      <w:r>
        <w:rPr>
          <w:rFonts w:ascii="Times New Roman" w:cs="Times New Roman" w:eastAsia="PMingLiU" w:hAnsi="Times New Roman"/>
          <w:sz w:val="6"/>
          <w:szCs w:val="6"/>
        </w:rPr>
        <w:t xml:space="preserve"/>
      </w:r>
    </w:p>
    <w:p>
      <w:pPr>
        <w:keepNext/>
        <w:spacing w:after="40" w:before="120"/>
        <w:jc w:val="center"/>
      </w:pPr>
      <w:r>
        <w:drawing>
          <wp:inline distT="0" distB="0" distL="0" distR="0">
            <wp:extent cx="2943225"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43225" cy="1628775"/>
                    </a:xfrm>
                    <a:prstGeom prst="rect">
                      <a:avLst/>
                    </a:prstGeom>
                  </pic:spPr>
                </pic:pic>
              </a:graphicData>
            </a:graphic>
          </wp:inline>
        </w:drawing>
      </w:r>
    </w:p>
    <w:p>
      <w:pPr>
        <w:keepLines/>
        <w:spacing w:after="140" w:before="0" w:line="200"/>
        <w:jc w:val="both"/>
      </w:pPr>
      <w:r>
        <w:rPr>
          <w:rFonts w:ascii="Times New Roman" w:cs="Times New Roman" w:eastAsia="PMingLiU" w:hAnsi="Times New Roman"/>
          <w:b/>
          <w:bCs/>
          <w:color w:val="0000FF"/>
          <w:sz w:val="17"/>
          <w:szCs w:val="17"/>
        </w:rPr>
        <w:t xml:space="preserve">Figure 9. </w:t>
      </w:r>
      <w:r>
        <w:rPr>
          <w:rFonts w:ascii="Times New Roman" w:cs="Times New Roman" w:eastAsia="PMingLiU" w:hAnsi="Times New Roman"/>
          <w:color w:val="0000FF"/>
          <w:sz w:val="17"/>
          <w:szCs w:val="17"/>
        </w:rPr>
        <w:t xml:space="preserve">Schedule with completion at 29 Oct (dark = done; PL 林沛霆, JC 陳佳晨, SL 林詩穎).</w:t>
      </w:r>
    </w:p>
    <w:p>
      <w:pPr>
        <w:keepNext/>
        <w:spacing w:after="0" w:line="240"/>
        <w:ind w:firstLine="288"/>
        <w:jc w:val="both"/>
      </w:pPr>
      <w:r>
        <w:rPr>
          <w:rFonts w:ascii="Times New Roman" w:cs="Times New Roman" w:eastAsia="PMingLiU" w:hAnsi="Times New Roman"/>
          <w:color w:val="0000FF"/>
          <w:sz w:val="20"/>
          <w:szCs w:val="20"/>
        </w:rPr>
        <w:t xml:space="preserve">Fig. 9 updates the schedule: data pipeline and demand reconstruction are complete, the predictor is trained and transferred ahead of plan, and the simulator exists two weeks early with the planner still greedy. None of the proposal’s three fallbacks was needed. Remaining work:</w:t>
      </w:r>
    </w:p>
    <w:p>
      <w:pPr>
        <w:spacing w:after="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color w:val="0000FF"/>
          <w:sz w:val="20"/>
          <w:szCs w:val="20"/>
        </w:rPr>
        <w:t xml:space="preserve">the rolling-horizon planner with 2-opt / simulated annealing and multi-stop routes, evaluated in the same simulator;</w:t>
      </w:r>
    </w:p>
    <w:p>
      <w:pPr>
        <w:spacing w:after="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color w:val="0000FF"/>
          <w:sz w:val="20"/>
          <w:szCs w:val="20"/>
        </w:rPr>
        <w:t xml:space="preserve">a timetable-intensity feature from the course catalogue and a two-sided (empty / full) label for the pre-bell cases where the predictor is weakest;</w:t>
      </w:r>
    </w:p>
    <w:p>
      <w:pPr>
        <w:spacing w:after="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color w:val="0000FF"/>
          <w:sz w:val="20"/>
          <w:szCs w:val="20"/>
        </w:rPr>
        <w:t xml:space="preserve">imputing the censored demand of Sec. 3.3 into the replay, so that unmet rentals include riders who never found a bike;</w:t>
      </w:r>
    </w:p>
    <w:p>
      <w:pPr>
        <w:spacing w:after="40" w:line="240"/>
        <w:ind w:left="300" w:hanging="180"/>
        <w:jc w:val="both"/>
      </w:pPr>
      <w:r>
        <w:rPr>
          <w:rFonts w:ascii="Times New Roman" w:cs="Times New Roman" w:eastAsia="PMingLiU" w:hAnsi="Times New Roman"/>
          <w:color w:val="0000FF"/>
          <w:sz w:val="20"/>
          <w:szCs w:val="20"/>
        </w:rPr>
        <w:t xml:space="preserve">– </w:t>
      </w:r>
      <w:r>
        <w:rPr>
          <w:rFonts w:ascii="Times New Roman" w:cs="Times New Roman" w:eastAsia="PMingLiU" w:hAnsi="Times New Roman"/>
          <w:color w:val="0000FF"/>
          <w:sz w:val="20"/>
          <w:szCs w:val="20"/>
        </w:rPr>
        <w:t xml:space="preserve">the live NSYSU demo (Fig. 10) and, after four more weeks of logging, a transfer study by week of local data.</w:t>
      </w:r>
    </w:p>
    <w:p>
      <w:pPr>
        <w:spacing w:after="0" w:line="240"/>
        <w:ind w:firstLine="288"/>
        <w:jc w:val="both"/>
      </w:pPr>
      <w:r>
        <w:rPr>
          <w:rFonts w:ascii="Times New Roman" w:cs="Times New Roman" w:eastAsia="PMingLiU" w:hAnsi="Times New Roman"/>
          <w:color w:val="0000FF"/>
          <w:sz w:val="20"/>
          <w:szCs w:val="20"/>
        </w:rPr>
        <w:t xml:space="preserve">Work division: 林沛霆 (PL) built the logger, the NTU pipeline, the replay simulator and this report; 陳佳晨 (JC) owns demand reconstruction, operator inference and its checks, the calibration and transfer studies and the bootstrap; 林詩穎 (SL) owns the predictor, the roll-out comparison, the horizon sweep, the ablations and the demo. All code, tables, model files, metrics and figures are in the public repository [17] under analysis/, with a README that rebuilds every table from the raw sources.</w:t>
      </w:r>
    </w:p>
    <w:p>
      <w:pPr>
        <w:keepNext/>
        <w:spacing w:after="40" w:before="120"/>
        <w:jc w:val="center"/>
      </w:pPr>
      <w:r>
        <w:drawing>
          <wp:inline distT="0" distB="0" distL="0" distR="0">
            <wp:extent cx="294322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43225" cy="2486025"/>
                    </a:xfrm>
                    <a:prstGeom prst="rect">
                      <a:avLst/>
                    </a:prstGeom>
                  </pic:spPr>
                </pic:pic>
              </a:graphicData>
            </a:graphic>
          </wp:inline>
        </w:drawing>
      </w:r>
    </w:p>
    <w:p>
      <w:pPr>
        <w:keepLines/>
        <w:spacing w:after="140" w:before="0" w:line="200"/>
        <w:jc w:val="both"/>
      </w:pPr>
      <w:r>
        <w:rPr>
          <w:rFonts w:ascii="Times New Roman" w:cs="Times New Roman" w:eastAsia="PMingLiU" w:hAnsi="Times New Roman"/>
          <w:b/>
          <w:bCs/>
          <w:color w:val="0000FF"/>
          <w:sz w:val="17"/>
          <w:szCs w:val="17"/>
        </w:rPr>
        <w:t xml:space="preserve">Figure 10. </w:t>
      </w:r>
      <w:r>
        <w:rPr>
          <w:rFonts w:ascii="Times New Roman" w:cs="Times New Roman" w:eastAsia="PMingLiU" w:hAnsi="Times New Roman"/>
          <w:sz w:val="17"/>
          <w:szCs w:val="17"/>
        </w:rPr>
        <w:t xml:space="preserve">Mock-up of the live NSYSU demo (real station positions and stock; probabilities and route illustrative).</w:t>
      </w:r>
    </w:p>
    <w:p>
      <w:pPr>
        <w:keepNext/>
        <w:spacing w:after="40" w:before="120" w:line="240"/>
      </w:pPr>
      <w:r>
        <w:rPr>
          <w:rFonts w:ascii="Times New Roman" w:cs="Times New Roman" w:eastAsia="PMingLiU" w:hAnsi="Times New Roman"/>
          <w:b/>
          <w:bCs/>
          <w:sz w:val="24"/>
          <w:szCs w:val="24"/>
        </w:rPr>
        <w:t xml:space="preserve">References</w:t>
      </w:r>
    </w:p>
    <w:p>
      <w:pPr>
        <w:spacing w:after="0" w:line="190"/>
        <w:ind w:left="260" w:hanging="260"/>
        <w:jc w:val="both"/>
      </w:pPr>
      <w:r>
        <w:rPr>
          <w:rFonts w:ascii="Times New Roman" w:cs="Times New Roman" w:eastAsia="PMingLiU" w:hAnsi="Times New Roman"/>
          <w:sz w:val="15"/>
          <w:szCs w:val="15"/>
        </w:rPr>
        <w:t xml:space="preserve">[1] </w:t>
      </w:r>
      <w:r>
        <w:rPr>
          <w:rFonts w:ascii="Times New Roman" w:cs="Times New Roman" w:eastAsia="PMingLiU" w:hAnsi="Times New Roman"/>
          <w:sz w:val="15"/>
          <w:szCs w:val="15"/>
        </w:rPr>
        <w:t xml:space="preserve">臺北市政府交通局. 臺北市公共自行車 2.0 租借紀錄, 2020–2026, data.taipei.</w:t>
      </w:r>
    </w:p>
    <w:p>
      <w:pPr>
        <w:spacing w:after="0" w:line="190"/>
        <w:ind w:left="260" w:hanging="260"/>
        <w:jc w:val="both"/>
      </w:pPr>
      <w:r>
        <w:rPr>
          <w:rFonts w:ascii="Times New Roman" w:cs="Times New Roman" w:eastAsia="PMingLiU" w:hAnsi="Times New Roman"/>
          <w:sz w:val="15"/>
          <w:szCs w:val="15"/>
        </w:rPr>
        <w:t xml:space="preserve">[2] </w:t>
      </w:r>
      <w:r>
        <w:rPr>
          <w:rFonts w:ascii="Times New Roman" w:cs="Times New Roman" w:eastAsia="PMingLiU" w:hAnsi="Times New Roman"/>
          <w:sz w:val="15"/>
          <w:szCs w:val="15"/>
        </w:rPr>
        <w:t xml:space="preserve">C.-X. Jian. youbike-historical-data (10-min Taipei YouBike 2.0 inventory snapshots), GitHub, 2024–2025.</w:t>
      </w:r>
    </w:p>
    <w:p>
      <w:pPr>
        <w:spacing w:after="0" w:line="190"/>
        <w:ind w:left="260" w:hanging="260"/>
        <w:jc w:val="both"/>
      </w:pPr>
      <w:r>
        <w:rPr>
          <w:rFonts w:ascii="Times New Roman" w:cs="Times New Roman" w:eastAsia="PMingLiU" w:hAnsi="Times New Roman"/>
          <w:sz w:val="15"/>
          <w:szCs w:val="15"/>
        </w:rPr>
        <w:t xml:space="preserve">[3] </w:t>
      </w:r>
      <w:r>
        <w:rPr>
          <w:rFonts w:ascii="Times New Roman" w:cs="Times New Roman" w:eastAsia="PMingLiU" w:hAnsi="Times New Roman"/>
          <w:sz w:val="15"/>
          <w:szCs w:val="15"/>
        </w:rPr>
        <w:t xml:space="preserve">報導者 The Reporter. 台北市 YouBike 多熱門？數據告訴你, Apr. 2024.</w:t>
      </w:r>
    </w:p>
    <w:p>
      <w:pPr>
        <w:spacing w:after="0" w:line="190"/>
        <w:ind w:left="260" w:hanging="260"/>
        <w:jc w:val="both"/>
      </w:pPr>
      <w:r>
        <w:rPr>
          <w:rFonts w:ascii="Times New Roman" w:cs="Times New Roman" w:eastAsia="PMingLiU" w:hAnsi="Times New Roman"/>
          <w:sz w:val="15"/>
          <w:szCs w:val="15"/>
        </w:rPr>
        <w:t xml:space="preserve">[4] </w:t>
      </w:r>
      <w:r>
        <w:rPr>
          <w:rFonts w:ascii="Times New Roman" w:cs="Times New Roman" w:eastAsia="PMingLiU" w:hAnsi="Times New Roman"/>
          <w:sz w:val="15"/>
          <w:szCs w:val="15"/>
        </w:rPr>
        <w:t xml:space="preserve">T. Raviv et al. Static repositioning in a bike-sharing system: models and solution approaches. EURO J. Transp. Logist., 2(3):187–229, 2013.</w:t>
      </w:r>
    </w:p>
    <w:p>
      <w:pPr>
        <w:spacing w:after="0" w:line="190"/>
        <w:ind w:left="260" w:hanging="260"/>
        <w:jc w:val="both"/>
      </w:pPr>
      <w:r>
        <w:rPr>
          <w:rFonts w:ascii="Times New Roman" w:cs="Times New Roman" w:eastAsia="PMingLiU" w:hAnsi="Times New Roman"/>
          <w:sz w:val="15"/>
          <w:szCs w:val="15"/>
        </w:rPr>
        <w:t xml:space="preserve">[5] </w:t>
      </w:r>
      <w:r>
        <w:rPr>
          <w:rFonts w:ascii="Times New Roman" w:cs="Times New Roman" w:eastAsia="PMingLiU" w:hAnsi="Times New Roman"/>
          <w:sz w:val="15"/>
          <w:szCs w:val="15"/>
        </w:rPr>
        <w:t xml:space="preserve">J. Liu et al. Rebalancing bike sharing systems: A multi-source data smart optimization. In KDD, 2016.</w:t>
      </w:r>
    </w:p>
    <w:p>
      <w:pPr>
        <w:spacing w:after="0" w:line="190"/>
        <w:ind w:left="260" w:hanging="260"/>
        <w:jc w:val="both"/>
      </w:pPr>
      <w:r>
        <w:rPr>
          <w:rFonts w:ascii="Times New Roman" w:cs="Times New Roman" w:eastAsia="PMingLiU" w:hAnsi="Times New Roman"/>
          <w:sz w:val="15"/>
          <w:szCs w:val="15"/>
        </w:rPr>
        <w:t xml:space="preserve">[6] </w:t>
      </w:r>
      <w:r>
        <w:rPr>
          <w:rFonts w:ascii="Times New Roman" w:cs="Times New Roman" w:eastAsia="PMingLiU" w:hAnsi="Times New Roman"/>
          <w:sz w:val="15"/>
          <w:szCs w:val="15"/>
        </w:rPr>
        <w:t xml:space="preserve">S. Ghosh et al. Dynamic repositioning to reduce lost demand in bike sharing systems. J. Artif. Intell. Res., 58:387–430, 2017.</w:t>
      </w:r>
    </w:p>
    <w:p>
      <w:pPr>
        <w:spacing w:after="0" w:line="190"/>
        <w:ind w:left="260" w:hanging="260"/>
        <w:jc w:val="both"/>
      </w:pPr>
      <w:r>
        <w:rPr>
          <w:rFonts w:ascii="Times New Roman" w:cs="Times New Roman" w:eastAsia="PMingLiU" w:hAnsi="Times New Roman"/>
          <w:sz w:val="15"/>
          <w:szCs w:val="15"/>
        </w:rPr>
        <w:t xml:space="preserve">[7] </w:t>
      </w:r>
      <w:r>
        <w:rPr>
          <w:rFonts w:ascii="Times New Roman" w:cs="Times New Roman" w:eastAsia="PMingLiU" w:hAnsi="Times New Roman"/>
          <w:sz w:val="15"/>
          <w:szCs w:val="15"/>
        </w:rPr>
        <w:t xml:space="preserve">Y. Li, Y. Zheng, and Q. Yang. Dynamic bike reposition: A spatio-temporal reinforcement learning approach. In KDD, 2018.</w:t>
      </w:r>
    </w:p>
    <w:p>
      <w:pPr>
        <w:spacing w:after="0" w:line="190"/>
        <w:ind w:left="260" w:hanging="260"/>
        <w:jc w:val="both"/>
      </w:pPr>
      <w:r>
        <w:rPr>
          <w:rFonts w:ascii="Times New Roman" w:cs="Times New Roman" w:eastAsia="PMingLiU" w:hAnsi="Times New Roman"/>
          <w:sz w:val="15"/>
          <w:szCs w:val="15"/>
        </w:rPr>
        <w:t xml:space="preserve">[8] </w:t>
      </w:r>
      <w:r>
        <w:rPr>
          <w:rFonts w:ascii="Times New Roman" w:cs="Times New Roman" w:eastAsia="PMingLiU" w:hAnsi="Times New Roman"/>
          <w:sz w:val="15"/>
          <w:szCs w:val="15"/>
        </w:rPr>
        <w:t xml:space="preserve">A. Negahban. Simulation-based estimation of the real demand in bike-sharing systems in the presence of censoring. Eur. J. Oper. Res., 277(1):317–332, 2019.</w:t>
      </w:r>
    </w:p>
    <w:p>
      <w:pPr>
        <w:spacing w:after="0" w:line="190"/>
        <w:ind w:left="260" w:hanging="260"/>
        <w:jc w:val="both"/>
      </w:pPr>
      <w:r>
        <w:rPr>
          <w:rFonts w:ascii="Times New Roman" w:cs="Times New Roman" w:eastAsia="PMingLiU" w:hAnsi="Times New Roman"/>
          <w:sz w:val="15"/>
          <w:szCs w:val="15"/>
        </w:rPr>
        <w:t xml:space="preserve">[9] </w:t>
      </w:r>
      <w:r>
        <w:rPr>
          <w:rFonts w:ascii="Times New Roman" w:cs="Times New Roman" w:eastAsia="PMingLiU" w:hAnsi="Times New Roman"/>
          <w:sz w:val="15"/>
          <w:szCs w:val="15"/>
        </w:rPr>
        <w:t xml:space="preserve">D. Gammelli et al. Estimating latent demand of shared mobility through censored Gaussian processes. Transp. Res. Part C, 120:102775, 2020.</w:t>
      </w:r>
    </w:p>
    <w:p>
      <w:pPr>
        <w:spacing w:after="0" w:line="190"/>
        <w:ind w:left="260" w:hanging="260"/>
        <w:jc w:val="both"/>
      </w:pPr>
      <w:r>
        <w:rPr>
          <w:rFonts w:ascii="Times New Roman" w:cs="Times New Roman" w:eastAsia="PMingLiU" w:hAnsi="Times New Roman"/>
          <w:sz w:val="15"/>
          <w:szCs w:val="15"/>
        </w:rPr>
        <w:t xml:space="preserve">[10] </w:t>
      </w:r>
      <w:r>
        <w:rPr>
          <w:rFonts w:ascii="Times New Roman" w:cs="Times New Roman" w:eastAsia="PMingLiU" w:hAnsi="Times New Roman"/>
          <w:sz w:val="15"/>
          <w:szCs w:val="15"/>
        </w:rPr>
        <w:t xml:space="preserve">H. Luo et al. Estimating rebalancing activities and vehicle use for existing station-based bike share systems. Transportation, 2026.</w:t>
      </w:r>
    </w:p>
    <w:p>
      <w:pPr>
        <w:spacing w:after="0" w:line="190"/>
        <w:ind w:left="260" w:hanging="260"/>
        <w:jc w:val="both"/>
      </w:pPr>
      <w:r>
        <w:rPr>
          <w:rFonts w:ascii="Times New Roman" w:cs="Times New Roman" w:eastAsia="PMingLiU" w:hAnsi="Times New Roman"/>
          <w:sz w:val="15"/>
          <w:szCs w:val="15"/>
        </w:rPr>
        <w:t xml:space="preserve">[11] </w:t>
      </w:r>
      <w:r>
        <w:rPr>
          <w:rFonts w:ascii="Times New Roman" w:cs="Times New Roman" w:eastAsia="PMingLiU" w:hAnsi="Times New Roman"/>
          <w:sz w:val="15"/>
          <w:szCs w:val="15"/>
        </w:rPr>
        <w:t xml:space="preserve">周欣儀. 臺大校總區周遭 YouBike 2.0 使用行為與調度優化研究. 碩士論文, 國立臺灣大學機械工程學系, 2025.</w:t>
      </w:r>
    </w:p>
    <w:p>
      <w:pPr>
        <w:spacing w:after="0" w:line="190"/>
        <w:ind w:left="260" w:hanging="260"/>
        <w:jc w:val="both"/>
      </w:pPr>
      <w:r>
        <w:rPr>
          <w:rFonts w:ascii="Times New Roman" w:cs="Times New Roman" w:eastAsia="PMingLiU" w:hAnsi="Times New Roman"/>
          <w:sz w:val="15"/>
          <w:szCs w:val="15"/>
        </w:rPr>
        <w:t xml:space="preserve">[12] </w:t>
      </w:r>
      <w:r>
        <w:rPr>
          <w:rFonts w:ascii="Times New Roman" w:cs="Times New Roman" w:eastAsia="PMingLiU" w:hAnsi="Times New Roman"/>
          <w:sz w:val="15"/>
          <w:szCs w:val="15"/>
        </w:rPr>
        <w:t xml:space="preserve">YouBike 即時站點資料 (apis.youbike.com.tw); 交通部 TDX (tdx.transportdata.tw); 高雄市開放資料 kcgoa-00000595-e5c.</w:t>
      </w:r>
    </w:p>
    <w:p>
      <w:pPr>
        <w:spacing w:after="0" w:line="190"/>
        <w:ind w:left="260" w:hanging="260"/>
        <w:jc w:val="both"/>
      </w:pPr>
      <w:r>
        <w:rPr>
          <w:rFonts w:ascii="Times New Roman" w:cs="Times New Roman" w:eastAsia="PMingLiU" w:hAnsi="Times New Roman"/>
          <w:color w:val="0000FF"/>
          <w:sz w:val="15"/>
          <w:szCs w:val="15"/>
        </w:rPr>
        <w:t xml:space="preserve">[13] </w:t>
      </w:r>
      <w:r>
        <w:rPr>
          <w:rFonts w:ascii="Times New Roman" w:cs="Times New Roman" w:eastAsia="PMingLiU" w:hAnsi="Times New Roman"/>
          <w:color w:val="0000FF"/>
          <w:sz w:val="15"/>
          <w:szCs w:val="15"/>
        </w:rPr>
        <w:t xml:space="preserve">G. Ke et al. LightGBM: A highly efficient gradient boosting decision tree. In NeurIPS, 2017.</w:t>
      </w:r>
    </w:p>
    <w:p>
      <w:pPr>
        <w:spacing w:after="0" w:line="190"/>
        <w:ind w:left="260" w:hanging="260"/>
        <w:jc w:val="both"/>
      </w:pPr>
      <w:r>
        <w:rPr>
          <w:rFonts w:ascii="Times New Roman" w:cs="Times New Roman" w:eastAsia="PMingLiU" w:hAnsi="Times New Roman"/>
          <w:color w:val="0000FF"/>
          <w:sz w:val="15"/>
          <w:szCs w:val="15"/>
        </w:rPr>
        <w:t xml:space="preserve">[14] </w:t>
      </w:r>
      <w:r>
        <w:rPr>
          <w:rFonts w:ascii="Times New Roman" w:cs="Times New Roman" w:eastAsia="PMingLiU" w:hAnsi="Times New Roman"/>
          <w:color w:val="0000FF"/>
          <w:sz w:val="15"/>
          <w:szCs w:val="15"/>
        </w:rPr>
        <w:t xml:space="preserve">M. P. Naeini, G. Cooper, and M. Hauskrecht. Obtaining well calibrated probabilities using Bayesian binning. In AAAI, 2015.</w:t>
      </w:r>
    </w:p>
    <w:p>
      <w:pPr>
        <w:spacing w:after="0" w:line="190"/>
        <w:ind w:left="260" w:hanging="260"/>
        <w:jc w:val="both"/>
      </w:pPr>
      <w:r>
        <w:rPr>
          <w:rFonts w:ascii="Times New Roman" w:cs="Times New Roman" w:eastAsia="PMingLiU" w:hAnsi="Times New Roman"/>
          <w:color w:val="0000FF"/>
          <w:sz w:val="15"/>
          <w:szCs w:val="15"/>
        </w:rPr>
        <w:t xml:space="preserve">[15] </w:t>
      </w:r>
      <w:r>
        <w:rPr>
          <w:rFonts w:ascii="Times New Roman" w:cs="Times New Roman" w:eastAsia="PMingLiU" w:hAnsi="Times New Roman"/>
          <w:color w:val="0000FF"/>
          <w:sz w:val="15"/>
          <w:szCs w:val="15"/>
        </w:rPr>
        <w:t xml:space="preserve">G. W. Brier. Verification of forecasts expressed in terms of probability. Monthly Weather Review, 78(1):1–3, 1950.</w:t>
      </w:r>
    </w:p>
    <w:p>
      <w:pPr>
        <w:spacing w:after="0" w:line="190"/>
        <w:ind w:left="260" w:hanging="260"/>
        <w:jc w:val="both"/>
      </w:pPr>
      <w:r>
        <w:rPr>
          <w:rFonts w:ascii="Times New Roman" w:cs="Times New Roman" w:eastAsia="PMingLiU" w:hAnsi="Times New Roman"/>
          <w:color w:val="0000FF"/>
          <w:sz w:val="15"/>
          <w:szCs w:val="15"/>
        </w:rPr>
        <w:t xml:space="preserve">[16] </w:t>
      </w:r>
      <w:r>
        <w:rPr>
          <w:rFonts w:ascii="Times New Roman" w:cs="Times New Roman" w:eastAsia="PMingLiU" w:hAnsi="Times New Roman"/>
          <w:color w:val="0000FF"/>
          <w:sz w:val="15"/>
          <w:szCs w:val="15"/>
        </w:rPr>
        <w:t xml:space="preserve">S. Kirkpatrick, C. D. Gelatt, and M. P. Vecchi. Optimization by simulated annealing. Science, 220(4598):671–680, 1983.</w:t>
      </w:r>
    </w:p>
    <w:p>
      <w:pPr>
        <w:spacing w:after="0" w:line="190"/>
        <w:ind w:left="260" w:hanging="260"/>
        <w:jc w:val="both"/>
      </w:pPr>
      <w:r>
        <w:rPr>
          <w:rFonts w:ascii="Times New Roman" w:cs="Times New Roman" w:eastAsia="PMingLiU" w:hAnsi="Times New Roman"/>
          <w:color w:val="0000FF"/>
          <w:sz w:val="15"/>
          <w:szCs w:val="15"/>
        </w:rPr>
        <w:t xml:space="preserve">[17] </w:t>
      </w:r>
      <w:r>
        <w:rPr>
          <w:rFonts w:ascii="Times New Roman" w:cs="Times New Roman" w:eastAsia="PMingLiU" w:hAnsi="Times New Roman"/>
          <w:color w:val="0000FF"/>
          <w:sz w:val="15"/>
          <w:szCs w:val="15"/>
        </w:rPr>
        <w:t xml:space="preserve">Group 54. nsysu-youbike-log: logger, analysis code and results, github.com/alexlin8888/nsysu-youbike-log, 2026.</w:t>
      </w:r>
    </w:p>
    <w:p>
      <w:pPr>
        <w:spacing w:after="0" w:line="190"/>
        <w:ind w:left="260" w:hanging="260"/>
        <w:jc w:val="both"/>
      </w:pPr>
      <w:r>
        <w:rPr>
          <w:rFonts w:ascii="Times New Roman" w:cs="Times New Roman" w:eastAsia="PMingLiU" w:hAnsi="Times New Roman"/>
          <w:color w:val="0000FF"/>
          <w:sz w:val="15"/>
          <w:szCs w:val="15"/>
        </w:rPr>
        <w:t xml:space="preserve">[18] </w:t>
      </w:r>
      <w:r>
        <w:rPr>
          <w:rFonts w:ascii="Times New Roman" w:cs="Times New Roman" w:eastAsia="PMingLiU" w:hAnsi="Times New Roman"/>
          <w:color w:val="0000FF"/>
          <w:sz w:val="15"/>
          <w:szCs w:val="15"/>
        </w:rPr>
        <w:t xml:space="preserve">J. Schuijbroek, R. C. Hampshire, and W.-J. van Hoeve. Inventory rebalancing and vehicle routing in bike sharing systems. Eur. J. Oper. Res., 257(3):992–1004, 2017.</w:t>
      </w:r>
    </w:p>
    <w:p>
      <w:pPr>
        <w:spacing w:after="0" w:line="190"/>
        <w:ind w:left="260" w:hanging="260"/>
        <w:jc w:val="both"/>
      </w:pPr>
      <w:r>
        <w:rPr>
          <w:rFonts w:ascii="Times New Roman" w:cs="Times New Roman" w:eastAsia="PMingLiU" w:hAnsi="Times New Roman"/>
          <w:color w:val="0000FF"/>
          <w:sz w:val="15"/>
          <w:szCs w:val="15"/>
        </w:rPr>
        <w:t xml:space="preserve">[19] </w:t>
      </w:r>
      <w:r>
        <w:rPr>
          <w:rFonts w:ascii="Times New Roman" w:cs="Times New Roman" w:eastAsia="PMingLiU" w:hAnsi="Times New Roman"/>
          <w:color w:val="0000FF"/>
          <w:sz w:val="15"/>
          <w:szCs w:val="15"/>
        </w:rPr>
        <w:t xml:space="preserve">C. Fricker and N. Gast. Incentives and redistribution in homogeneous bike-sharing systems with stations of finite capacity. EURO J. Transp. Logist., 5(3):261–291, 2016.</w:t>
      </w:r>
    </w:p>
    <w:p>
      <w:pPr>
        <w:spacing w:after="0" w:line="190"/>
        <w:ind w:left="260" w:hanging="260"/>
        <w:jc w:val="both"/>
      </w:pPr>
      <w:r>
        <w:rPr>
          <w:rFonts w:ascii="Times New Roman" w:cs="Times New Roman" w:eastAsia="PMingLiU" w:hAnsi="Times New Roman"/>
          <w:color w:val="0000FF"/>
          <w:sz w:val="15"/>
          <w:szCs w:val="15"/>
        </w:rPr>
        <w:t xml:space="preserve">[20] </w:t>
      </w:r>
      <w:r>
        <w:rPr>
          <w:rFonts w:ascii="Times New Roman" w:cs="Times New Roman" w:eastAsia="PMingLiU" w:hAnsi="Times New Roman"/>
          <w:color w:val="0000FF"/>
          <w:sz w:val="15"/>
          <w:szCs w:val="15"/>
        </w:rPr>
        <w:t xml:space="preserve">D. K. George and C. H. Xia. Fleet-sizing and service availability for a vehicle rental system via closed queueing networks. Eur. J. Oper. Res., 211(1):198–207, 2011.</w:t>
      </w:r>
    </w:p>
    <w:p>
      <w:pPr>
        <w:spacing w:after="0" w:line="190"/>
        <w:ind w:left="260" w:hanging="260"/>
        <w:jc w:val="both"/>
      </w:pPr>
      <w:r>
        <w:rPr>
          <w:rFonts w:ascii="Times New Roman" w:cs="Times New Roman" w:eastAsia="PMingLiU" w:hAnsi="Times New Roman"/>
          <w:color w:val="0000FF"/>
          <w:sz w:val="15"/>
          <w:szCs w:val="15"/>
        </w:rPr>
        <w:t xml:space="preserve">[21] </w:t>
      </w:r>
      <w:r>
        <w:rPr>
          <w:rFonts w:ascii="Times New Roman" w:cs="Times New Roman" w:eastAsia="PMingLiU" w:hAnsi="Times New Roman"/>
          <w:color w:val="0000FF"/>
          <w:sz w:val="15"/>
          <w:szCs w:val="15"/>
        </w:rPr>
        <w:t xml:space="preserve">B. Zadrozny and C. Elkan. Transforming classifier scores into accurate multiclass probability estimates. In KDD, 2002.</w:t>
      </w:r>
    </w:p>
    <w:p>
      <w:pPr>
        <w:spacing w:after="0" w:line="190"/>
        <w:ind w:left="260" w:hanging="260"/>
        <w:jc w:val="both"/>
      </w:pPr>
      <w:r>
        <w:rPr>
          <w:rFonts w:ascii="Times New Roman" w:cs="Times New Roman" w:eastAsia="PMingLiU" w:hAnsi="Times New Roman"/>
          <w:color w:val="0000FF"/>
          <w:sz w:val="15"/>
          <w:szCs w:val="15"/>
        </w:rPr>
        <w:t xml:space="preserve">[22] </w:t>
      </w:r>
      <w:r>
        <w:rPr>
          <w:rFonts w:ascii="Times New Roman" w:cs="Times New Roman" w:eastAsia="PMingLiU" w:hAnsi="Times New Roman"/>
          <w:color w:val="0000FF"/>
          <w:sz w:val="15"/>
          <w:szCs w:val="15"/>
        </w:rPr>
        <w:t xml:space="preserve">B. Efron and R. J. Tibshirani. An Introduction to the Bootstrap. Chapman &amp; Hall, 1993.</w:t>
      </w:r>
    </w:p>
    <w:p>
      <w:pPr>
        <w:spacing w:after="0" w:line="190"/>
        <w:ind w:left="260" w:hanging="260"/>
        <w:jc w:val="both"/>
      </w:pPr>
      <w:r>
        <w:rPr>
          <w:rFonts w:ascii="Times New Roman" w:cs="Times New Roman" w:eastAsia="PMingLiU" w:hAnsi="Times New Roman"/>
          <w:color w:val="0000FF"/>
          <w:sz w:val="15"/>
          <w:szCs w:val="15"/>
        </w:rPr>
        <w:t xml:space="preserve">[23] </w:t>
      </w:r>
      <w:r>
        <w:rPr>
          <w:rFonts w:ascii="Times New Roman" w:cs="Times New Roman" w:eastAsia="PMingLiU" w:hAnsi="Times New Roman"/>
          <w:color w:val="0000FF"/>
          <w:sz w:val="15"/>
          <w:szCs w:val="15"/>
        </w:rPr>
        <w:t xml:space="preserve">L. Chen et al. Dynamic cluster-based over-demand prediction in bike sharing systems. In UbiComp, 2016.</w:t>
      </w:r>
    </w:p>
    <w:p>
      <w:pPr>
        <w:spacing w:after="0" w:line="190"/>
        <w:ind w:left="260" w:hanging="260"/>
        <w:jc w:val="both"/>
      </w:pPr>
      <w:r>
        <w:rPr>
          <w:rFonts w:ascii="Times New Roman" w:cs="Times New Roman" w:eastAsia="PMingLiU" w:hAnsi="Times New Roman"/>
          <w:color w:val="0000FF"/>
          <w:sz w:val="15"/>
          <w:szCs w:val="15"/>
        </w:rPr>
        <w:t xml:space="preserve">[24] </w:t>
      </w:r>
      <w:r>
        <w:rPr>
          <w:rFonts w:ascii="Times New Roman" w:cs="Times New Roman" w:eastAsia="PMingLiU" w:hAnsi="Times New Roman"/>
          <w:color w:val="0000FF"/>
          <w:sz w:val="15"/>
          <w:szCs w:val="15"/>
        </w:rPr>
        <w:t xml:space="preserve">E. O’Mahony and D. B. Shmoys. Data analysis and optimization for (Citi)Bike sharing. In AAAI, 2015.</w:t>
      </w:r>
    </w:p>
    <w:p>
      <w:pPr>
        <w:spacing w:after="0" w:line="190"/>
        <w:ind w:left="260" w:hanging="260"/>
        <w:jc w:val="both"/>
      </w:pPr>
      <w:r>
        <w:rPr>
          <w:rFonts w:ascii="Times New Roman" w:cs="Times New Roman" w:eastAsia="PMingLiU" w:hAnsi="Times New Roman"/>
          <w:color w:val="0000FF"/>
          <w:sz w:val="15"/>
          <w:szCs w:val="15"/>
        </w:rPr>
        <w:t xml:space="preserve">[25] </w:t>
      </w:r>
      <w:r>
        <w:rPr>
          <w:rFonts w:ascii="Times New Roman" w:cs="Times New Roman" w:eastAsia="PMingLiU" w:hAnsi="Times New Roman"/>
          <w:color w:val="0000FF"/>
          <w:sz w:val="15"/>
          <w:szCs w:val="15"/>
        </w:rPr>
        <w:t xml:space="preserve">Y. Li, Y. Zheng, H. Zhang, and L. Chen. Traffic prediction in a bike-sharing system. In ACM SIGSPATIAL, 2015.</w:t>
      </w:r>
    </w:p>
    <w:p>
      <w:pPr>
        <w:spacing w:after="0" w:line="190"/>
        <w:ind w:left="260" w:hanging="260"/>
        <w:jc w:val="both"/>
      </w:pPr>
      <w:r>
        <w:rPr>
          <w:rFonts w:ascii="Times New Roman" w:cs="Times New Roman" w:eastAsia="PMingLiU" w:hAnsi="Times New Roman"/>
          <w:color w:val="0000FF"/>
          <w:sz w:val="15"/>
          <w:szCs w:val="15"/>
        </w:rPr>
        <w:t xml:space="preserve">[26] </w:t>
      </w:r>
      <w:r>
        <w:rPr>
          <w:rFonts w:ascii="Times New Roman" w:cs="Times New Roman" w:eastAsia="PMingLiU" w:hAnsi="Times New Roman"/>
          <w:color w:val="0000FF"/>
          <w:sz w:val="15"/>
          <w:szCs w:val="15"/>
        </w:rPr>
        <w:t xml:space="preserve">嚴文廷. 維繫台北街道的微笑風景──YouBike 調度員與維修員的工作日常. 報導者, 6 Apr. 2024.</w:t>
      </w:r>
    </w:p>
    <w:sectPr>
      <w:type w:val="continuous"/>
      <w:pgSz w:w="12240" w:h="15840" w:orient="portrait"/>
      <w:pgMar w:top="1440" w:right="902" w:bottom="1622" w:left="1440" w:header="431" w:footer="431" w:gutter="0"/>
      <w:pgNumType/>
      <w:cols w:space="544"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17a267542e159cf0d0a4d74252ee8039e70e85.png"/><Relationship Id="rId8" Type="http://schemas.openxmlformats.org/officeDocument/2006/relationships/image" Target="media/b6ddb8a02df66398037e15eb43e27d85c2ae55f6.png"/><Relationship Id="rId9" Type="http://schemas.openxmlformats.org/officeDocument/2006/relationships/image" Target="media/72b0a14f966819fb1230ad9d8ce6ee2ed8902994.png"/><Relationship Id="rId10" Type="http://schemas.openxmlformats.org/officeDocument/2006/relationships/image" Target="media/14ec6eb106de1db2577653003181fe51ba4ff10c.png"/><Relationship Id="rId11" Type="http://schemas.openxmlformats.org/officeDocument/2006/relationships/image" Target="media/03ac05078f556bafefb5d15783a93580b7f17fb3.png"/><Relationship Id="rId12" Type="http://schemas.openxmlformats.org/officeDocument/2006/relationships/image" Target="media/463d12f9116b90ac756b89d0f5b604dbead7f591.png"/><Relationship Id="rId13" Type="http://schemas.openxmlformats.org/officeDocument/2006/relationships/image" Target="media/f8237266b5c193350b40c7ae64b81e10f4e95e06.png"/><Relationship Id="rId14" Type="http://schemas.openxmlformats.org/officeDocument/2006/relationships/image" Target="media/a6025591f70445d120c67e43122bc5a680590fce.png"/><Relationship Id="rId15" Type="http://schemas.openxmlformats.org/officeDocument/2006/relationships/image" Target="media/cc020c5570a540b3a3afdcdf6ae7bb6de7ecc84c.png"/><Relationship Id="rId16" Type="http://schemas.openxmlformats.org/officeDocument/2006/relationships/image" Target="media/300e9aa0d1b26658896c8c54368c965514ae513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Beat the Bell — Midterm Report</dc:title>
  <dc:creator>NSYSU Group 54</dc:creator>
  <cp:lastModifiedBy>Un-named</cp:lastModifiedBy>
  <cp:revision>1</cp:revision>
  <dcterms:created xsi:type="dcterms:W3CDTF">2026-10-17T04:32:16.577Z</dcterms:created>
  <dcterms:modified xsi:type="dcterms:W3CDTF">2026-10-17T04:32:16.582Z</dcterms:modified>
</cp:coreProperties>
</file>

<file path=docProps/custom.xml><?xml version="1.0" encoding="utf-8"?>
<Properties xmlns="http://schemas.openxmlformats.org/officeDocument/2006/custom-properties" xmlns:vt="http://schemas.openxmlformats.org/officeDocument/2006/docPropsVTypes"/>
</file>