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3305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778" l="0" r="424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Data Augmentation Libraries: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https://github.com/aleju/imgaug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Tuning Parameters: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format (one well-defined fix format by default, reasonable extension point for custom support) -&gt; torchvision.datasets.ImageFolder (folder/s inside folder), possible solution: specified dataset format(in np.array?)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representatives selected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Representative selection algorithm (i.e. our method, none, random, etc.)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class whitelist/blacklist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Hyperparam for OPTICS/DBSCAN/KMM/Agglomerative/SinGAN (and their default setting)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 API: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python singleimageaugmentation.py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-h, --help Displays help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-r, --num-representatives Number of representatives to select from each class for training (default=5)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-i, --input Input dataset location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-o, --output_dir Output directory location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-d, --diversity-analysis-algorithm Diversity analysis (i.e. None [default], SSIM, some other comparison)*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-a, --single-image-augmentation-algorithm Single image GAN to use for augmentation (default=SinGAN)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-p, --model-parameters Input file to override default Single image GAN parameters (default=None)**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-b, --class-blacklist Input file containing a blacklist for classes to ignore in augmentation (new-line delimited)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-w, --class-whitelist Input file containing a whitelist for classes to include in augmentation (new-line delimited),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-g, --gpu Enable/disable GPU (NOTE: Maybe should auto-detect)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Diversity analysis is an informational output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 Model parameters should be a well-defined, structured JSON file. This allows tuning of single image GAN implementation, DBSCAN, etc. all in a single input.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Rough idea: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“&lt;TunableSystemName&gt;”: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“&lt;Parameter&gt;”: “&lt;value&gt;”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“SinGAN”: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“num_layers”: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Uzay - (i) Add geometric transformations.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the JSON file.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leju/imga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