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7F5C12"/>
          <w:sz w:val="18"/>
        </w:rPr>
        <w:t>PROPUESTA COMERCIAL  |  26 SEPTIEMBRE 2026</w:t>
      </w:r>
    </w:p>
    <w:p>
      <w:pPr>
        <w:pStyle w:val="Title"/>
      </w:pPr>
      <w:r>
        <w:t>Cotización para implementación del sistema de informes</w:t>
      </w:r>
    </w:p>
    <w:p>
      <w:pPr>
        <w:spacing w:after="240"/>
      </w:pPr>
      <w:r>
        <w:t>Desarrollo de Grupo RYS para la elaboración, gestión y entrega de informes de actividades contractuales.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8280"/>
      </w:tblGrid>
      <w:tr>
        <w:tc>
          <w:tcPr>
            <w:tcW w:type="dxa" w:w="4997"/>
            <w:vAlign w:val="center"/>
            <w:shd w:fill="F2F0EB"/>
          </w:tcPr>
          <w:p>
            <w:pPr>
              <w:spacing w:after="20"/>
            </w:pPr>
            <w:r/>
            <w:r>
              <w:rPr>
                <w:rFonts w:ascii="Aptos" w:hAnsi="Aptos"/>
                <w:b/>
                <w:sz w:val="18"/>
              </w:rPr>
              <w:t>Proveedor</w:t>
            </w:r>
          </w:p>
        </w:tc>
        <w:tc>
          <w:tcPr>
            <w:tcW w:type="dxa" w:w="4997"/>
            <w:vAlign w:val="center"/>
          </w:tcPr>
          <w:p>
            <w:pPr>
              <w:spacing w:after="20"/>
            </w:pPr>
            <w:r/>
            <w:r>
              <w:rPr>
                <w:rFonts w:ascii="Aptos" w:hAnsi="Aptos"/>
                <w:b w:val="0"/>
                <w:sz w:val="18"/>
              </w:rPr>
              <w:t>Alexander Londoño · CC 1038114508</w:t>
            </w:r>
          </w:p>
        </w:tc>
      </w:tr>
      <w:tr>
        <w:tc>
          <w:tcPr>
            <w:tcW w:type="dxa" w:w="4997"/>
            <w:vAlign w:val="center"/>
            <w:shd w:fill="F2F0EB"/>
          </w:tcPr>
          <w:p>
            <w:pPr>
              <w:spacing w:after="20"/>
            </w:pPr>
            <w:r/>
            <w:r>
              <w:rPr>
                <w:rFonts w:ascii="Aptos" w:hAnsi="Aptos"/>
                <w:b/>
                <w:sz w:val="18"/>
              </w:rPr>
              <w:t>Cliente</w:t>
            </w:r>
          </w:p>
        </w:tc>
        <w:tc>
          <w:tcPr>
            <w:tcW w:type="dxa" w:w="4997"/>
            <w:vAlign w:val="center"/>
          </w:tcPr>
          <w:p>
            <w:pPr>
              <w:spacing w:after="20"/>
            </w:pPr>
            <w:r/>
            <w:r>
              <w:rPr>
                <w:rFonts w:ascii="Aptos" w:hAnsi="Aptos"/>
                <w:b w:val="0"/>
                <w:sz w:val="18"/>
              </w:rPr>
              <w:t>Grupo RYS · NIT: [completar]</w:t>
            </w:r>
          </w:p>
        </w:tc>
      </w:tr>
      <w:tr>
        <w:tc>
          <w:tcPr>
            <w:tcW w:type="dxa" w:w="4997"/>
            <w:vAlign w:val="center"/>
            <w:shd w:fill="F2F0EB"/>
          </w:tcPr>
          <w:p>
            <w:pPr>
              <w:spacing w:after="20"/>
            </w:pPr>
            <w:r/>
            <w:r>
              <w:rPr>
                <w:rFonts w:ascii="Aptos" w:hAnsi="Aptos"/>
                <w:b/>
                <w:sz w:val="18"/>
              </w:rPr>
              <w:t>Contacto</w:t>
            </w:r>
          </w:p>
        </w:tc>
        <w:tc>
          <w:tcPr>
            <w:tcW w:type="dxa" w:w="4997"/>
            <w:vAlign w:val="center"/>
          </w:tcPr>
          <w:p>
            <w:pPr>
              <w:spacing w:after="20"/>
            </w:pPr>
            <w:r/>
            <w:r>
              <w:rPr>
                <w:rFonts w:ascii="Aptos" w:hAnsi="Aptos"/>
                <w:b w:val="0"/>
                <w:sz w:val="18"/>
              </w:rPr>
              <w:t>[Nombre y correo del responsable]</w:t>
            </w:r>
          </w:p>
        </w:tc>
      </w:tr>
    </w:tbl>
    <w:p>
      <w:pPr>
        <w:pStyle w:val="Heading1"/>
      </w:pPr>
      <w:r>
        <w:t>Objeto de la propuesta</w:t>
      </w:r>
    </w:p>
    <w:p>
      <w:r>
        <w:t>Implementar y habilitar para uso interno de Grupo RYS la aplicación web existente para crear y administrar informes de actividades, organizar sus evidencias y generar archivos PDF y Excel. El código fuente no se entrega; el cliente recibe una licencia de uso interno para su organización.</w:t>
      </w:r>
    </w:p>
    <w:p>
      <w:pPr>
        <w:pStyle w:val="Heading1"/>
      </w:pPr>
      <w:r>
        <w:t>Alcance incluido</w:t>
      </w:r>
    </w:p>
    <w:p>
      <w:pPr>
        <w:pStyle w:val="ListBullet"/>
        <w:spacing w:after="60"/>
      </w:pPr>
      <w:r>
        <w:rPr>
          <w:b/>
        </w:rPr>
        <w:t xml:space="preserve">Gestión de informes: </w:t>
      </w:r>
      <w:r>
        <w:rPr>
          <w:rFonts w:ascii="Aptos" w:hAnsi="Aptos"/>
          <w:sz w:val="20"/>
        </w:rPr>
        <w:t>creación y edición mediante un asistente de seis pasos para datos del contrato, evento, actividades artísticas, componentes técnicos y logísticos, cierre y revisión. Permite guardar borradores, autoguardar avances, duplicar informes como base de un nuevo evento, consultar estado y progreso, revisar pendientes y finalizar cuando la información requerida esté completa.</w:t>
      </w:r>
    </w:p>
    <w:p>
      <w:pPr>
        <w:pStyle w:val="ListBullet"/>
        <w:spacing w:after="60"/>
      </w:pPr>
      <w:r>
        <w:rPr>
          <w:b/>
        </w:rPr>
        <w:t xml:space="preserve">Importación y visor de Excel: </w:t>
      </w:r>
      <w:r>
        <w:rPr>
          <w:rFonts w:ascii="Aptos" w:hAnsi="Aptos"/>
          <w:sz w:val="20"/>
        </w:rPr>
        <w:t>carga de la plantilla oficial por partes; lectura de datos del informe, ítems y referencias a fotos; validación y vista previa de registros nuevos, cambios, conflictos y errores antes de aplicar. Permite decidir cómo resolver diferencias entre Excel y la aplicación, conserva los datos cuando una celda viene vacía y mantiene historial de importaciones. Incluye descarga de plantilla, exportación del informe y visor de hojas del archivo.</w:t>
      </w:r>
    </w:p>
    <w:p>
      <w:pPr>
        <w:pStyle w:val="ListBullet"/>
        <w:spacing w:after="60"/>
      </w:pPr>
      <w:r>
        <w:rPr>
          <w:b/>
        </w:rPr>
        <w:t xml:space="preserve">Evidencia fotográfica: </w:t>
      </w:r>
      <w:r>
        <w:rPr>
          <w:rFonts w:ascii="Aptos" w:hAnsi="Aptos"/>
          <w:sz w:val="20"/>
        </w:rPr>
        <w:t>carga de imágenes desde computador o celular, optimización automática para reducir tamaño, asignación de título o leyenda, ordenamiento y organización en formatos individuales, pares o collage. Admite enlaces de evidencia y sincronización de fotografías desde carpetas de Google Drive. Las imágenes sincronizadas se copian al almacenamiento de la aplicación para que los informes no dependan de que el archivo permanezca en Drive.</w:t>
      </w:r>
    </w:p>
    <w:p>
      <w:pPr>
        <w:pStyle w:val="ListBullet"/>
        <w:spacing w:after="60"/>
      </w:pPr>
      <w:r>
        <w:rPr>
          <w:b/>
        </w:rPr>
        <w:t xml:space="preserve">Generación de documentos: </w:t>
      </w:r>
      <w:r>
        <w:rPr>
          <w:rFonts w:ascii="Aptos" w:hAnsi="Aptos"/>
          <w:sz w:val="20"/>
        </w:rPr>
        <w:t>generación de PDF con la identidad visual y datos configurados de Grupo RYS, procesamiento en segundo plano y descarga al quedar listo. Permite revisar una vista previa y generar un documento de trabajo para informes incompletos cuando aplique. Exporta los datos del informe a Excel para consulta o edición externa.</w:t>
      </w:r>
    </w:p>
    <w:p>
      <w:pPr>
        <w:pStyle w:val="ListBullet"/>
        <w:spacing w:after="60"/>
      </w:pPr>
      <w:r>
        <w:rPr>
          <w:b/>
        </w:rPr>
        <w:t xml:space="preserve">Biblioteca, empresa y administración: </w:t>
      </w:r>
      <w:r>
        <w:rPr>
          <w:rFonts w:ascii="Aptos" w:hAnsi="Aptos"/>
          <w:sz w:val="20"/>
        </w:rPr>
        <w:t>catálogo reutilizable de ítems artísticos, técnicos y logísticos; plantillas de texto con variables para completar información repetida; configuración del nombre e imagen corporativa, representante y firma; administración de usuarios y asignación de roles. Incluye selección de departamentos y municipios de Colombia.</w:t>
      </w:r>
    </w:p>
    <w:p>
      <w:pPr>
        <w:pStyle w:val="ListBullet"/>
        <w:spacing w:after="60"/>
      </w:pPr>
      <w:r>
        <w:rPr>
          <w:b/>
        </w:rPr>
        <w:t xml:space="preserve">Acceso y trazabilidad: </w:t>
      </w:r>
      <w:r>
        <w:rPr>
          <w:rFonts w:ascii="Aptos" w:hAnsi="Aptos"/>
          <w:sz w:val="20"/>
        </w:rPr>
        <w:t>inicio de sesión, recuperación de acceso según la configuración de correo, autenticación de dos factores, códigos de recuperación y passkeys compatibles con el dispositivo. La bitácora registra cambios relevantes por campo, usuario, fecha y origen cuando corresponda, y permite consultar el historial de actividad e importaciones.</w:t>
      </w:r>
    </w:p>
    <w:p>
      <w:pPr>
        <w:pStyle w:val="ListBullet"/>
        <w:spacing w:after="60"/>
      </w:pPr>
      <w:r>
        <w:rPr>
          <w:b/>
        </w:rPr>
        <w:t xml:space="preserve">Implementación y capacitación: </w:t>
      </w:r>
      <w:r>
        <w:rPr>
          <w:rFonts w:ascii="Aptos" w:hAnsi="Aptos"/>
          <w:sz w:val="20"/>
        </w:rPr>
        <w:t>instalación y configuración de la aplicación en el servidor Contabo contratado por Grupo RYS; conexión a la base de datos y almacenamiento; configuración de dominio y parámetros que suministre el cliente; habilitación del acceso administrador y procesos en segundo plano requeridos por PDF e importaciones. Se verificará un flujo representativo acordado y se realizará una sesión inicial de capacitación para usuarios administradores.</w:t>
      </w:r>
    </w:p>
    <w:p>
      <w:pPr>
        <w:pStyle w:val="Heading1"/>
      </w:pPr>
      <w:r>
        <w:t>Inversión y forma de pago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904"/>
        <w:gridCol w:w="1800"/>
        <w:gridCol w:w="2664"/>
      </w:tblGrid>
      <w:tr>
        <w:tc>
          <w:tcPr>
            <w:tcW w:type="dxa" w:w="3331"/>
            <w:vAlign w:val="center"/>
            <w:shd w:fill="27251F"/>
          </w:tcPr>
          <w:p>
            <w:pPr>
              <w:spacing w:after="20"/>
            </w:pPr>
            <w:r/>
            <w:r>
              <w:rPr>
                <w:rFonts w:ascii="Aptos" w:hAnsi="Aptos"/>
                <w:b/>
                <w:color w:val="FFFFFF"/>
                <w:sz w:val="18"/>
              </w:rPr>
              <w:t>Concepto</w:t>
            </w:r>
          </w:p>
        </w:tc>
        <w:tc>
          <w:tcPr>
            <w:tcW w:type="dxa" w:w="3331"/>
            <w:vAlign w:val="center"/>
            <w:shd w:fill="27251F"/>
          </w:tcPr>
          <w:p>
            <w:pPr>
              <w:spacing w:after="20"/>
            </w:pPr>
            <w:r/>
            <w:r>
              <w:rPr>
                <w:rFonts w:ascii="Aptos" w:hAnsi="Aptos"/>
                <w:b/>
                <w:color w:val="FFFFFF"/>
                <w:sz w:val="18"/>
              </w:rPr>
              <w:t>Porcentaje</w:t>
            </w:r>
          </w:p>
        </w:tc>
        <w:tc>
          <w:tcPr>
            <w:tcW w:type="dxa" w:w="3331"/>
            <w:vAlign w:val="center"/>
            <w:shd w:fill="27251F"/>
          </w:tcPr>
          <w:p>
            <w:pPr>
              <w:spacing w:after="20"/>
            </w:pPr>
            <w:r/>
            <w:r>
              <w:rPr>
                <w:rFonts w:ascii="Aptos" w:hAnsi="Aptos"/>
                <w:b/>
                <w:color w:val="FFFFFF"/>
                <w:sz w:val="18"/>
              </w:rPr>
              <w:t>Valor</w:t>
            </w:r>
          </w:p>
        </w:tc>
      </w:tr>
      <w:tr>
        <w:tc>
          <w:tcPr>
            <w:tcW w:type="dxa" w:w="5904"/>
            <w:vAlign w:val="center"/>
          </w:tcPr>
          <w:p>
            <w:r>
              <w:rPr>
                <w:rFonts w:ascii="Aptos" w:hAnsi="Aptos"/>
                <w:sz w:val="18"/>
              </w:rPr>
              <w:t>Implementación y licencia de uso interno</w:t>
            </w:r>
          </w:p>
        </w:tc>
        <w:tc>
          <w:tcPr>
            <w:tcW w:type="dxa" w:w="1800"/>
            <w:vAlign w:val="center"/>
          </w:tcPr>
          <w:p>
            <w:r>
              <w:rPr>
                <w:rFonts w:ascii="Aptos" w:hAnsi="Aptos"/>
                <w:sz w:val="18"/>
              </w:rPr>
              <w:t>60%</w:t>
            </w:r>
          </w:p>
        </w:tc>
        <w:tc>
          <w:tcPr>
            <w:tcW w:type="dxa" w:w="2664"/>
            <w:vAlign w:val="center"/>
          </w:tcPr>
          <w:p>
            <w:r>
              <w:rPr>
                <w:rFonts w:ascii="Aptos" w:hAnsi="Aptos"/>
                <w:sz w:val="18"/>
              </w:rPr>
              <w:t>$ 8.400.000 COP</w:t>
            </w:r>
          </w:p>
        </w:tc>
      </w:tr>
      <w:tr>
        <w:tc>
          <w:tcPr>
            <w:tcW w:type="dxa" w:w="5904"/>
            <w:vAlign w:val="center"/>
          </w:tcPr>
          <w:p>
            <w:r>
              <w:rPr>
                <w:rFonts w:ascii="Aptos" w:hAnsi="Aptos"/>
                <w:sz w:val="18"/>
              </w:rPr>
              <w:t>Contra entrega y aceptación</w:t>
            </w:r>
          </w:p>
        </w:tc>
        <w:tc>
          <w:tcPr>
            <w:tcW w:type="dxa" w:w="1800"/>
            <w:vAlign w:val="center"/>
          </w:tcPr>
          <w:p>
            <w:r>
              <w:rPr>
                <w:rFonts w:ascii="Aptos" w:hAnsi="Aptos"/>
                <w:sz w:val="18"/>
              </w:rPr>
              <w:t>40%</w:t>
            </w:r>
          </w:p>
        </w:tc>
        <w:tc>
          <w:tcPr>
            <w:tcW w:type="dxa" w:w="2664"/>
            <w:vAlign w:val="center"/>
          </w:tcPr>
          <w:p>
            <w:r>
              <w:rPr>
                <w:rFonts w:ascii="Aptos" w:hAnsi="Aptos"/>
                <w:sz w:val="18"/>
              </w:rPr>
              <w:t>$ 5.600.000 COP</w:t>
            </w:r>
          </w:p>
        </w:tc>
      </w:tr>
      <w:tr>
        <w:tc>
          <w:tcPr>
            <w:tcW w:type="dxa" w:w="5904"/>
            <w:vAlign w:val="center"/>
            <w:shd w:fill="F2F0EB"/>
          </w:tcPr>
          <w:p>
            <w:r>
              <w:rPr>
                <w:rFonts w:ascii="Aptos" w:hAnsi="Aptos"/>
                <w:b/>
                <w:sz w:val="18"/>
              </w:rPr>
              <w:t>Total de la propuesta</w:t>
            </w:r>
          </w:p>
        </w:tc>
        <w:tc>
          <w:tcPr>
            <w:tcW w:type="dxa" w:w="1800"/>
            <w:vAlign w:val="center"/>
            <w:shd w:fill="F2F0EB"/>
          </w:tcPr>
          <w:p>
            <w:r>
              <w:rPr>
                <w:rFonts w:ascii="Aptos" w:hAnsi="Aptos"/>
                <w:b/>
                <w:sz w:val="18"/>
              </w:rPr>
              <w:t>100%</w:t>
            </w:r>
          </w:p>
        </w:tc>
        <w:tc>
          <w:tcPr>
            <w:tcW w:type="dxa" w:w="2664"/>
            <w:vAlign w:val="center"/>
            <w:shd w:fill="F2F0EB"/>
          </w:tcPr>
          <w:p>
            <w:r>
              <w:rPr>
                <w:rFonts w:ascii="Aptos" w:hAnsi="Aptos"/>
                <w:b/>
                <w:sz w:val="18"/>
              </w:rPr>
              <w:t>$ 14.000.000 COP</w:t>
            </w:r>
          </w:p>
        </w:tc>
      </w:tr>
    </w:tbl>
    <w:p>
      <w:r>
        <w:t>El primer pago habilita el inicio de la implementación. El saldo se paga al completar la puesta en marcha y la validación de los flujos acordados. Los pagos se realizan contra factura o cuenta de cobro, según corresponda.</w:t>
      </w:r>
    </w:p>
    <w:p>
      <w:r>
        <w:t>Impuestos: el tratamiento tributario se determinará de acuerdo con el régimen del proveedor y se reflejará en la factura o cuenta de cobro. Cualquier impuesto aplicable se informará al cliente antes de aceptar la propuesta.</w:t>
      </w:r>
    </w:p>
    <w:p>
      <w:pPr>
        <w:pStyle w:val="Heading1"/>
      </w:pPr>
      <w:r>
        <w:t>Infraestructura y servicios externos</w:t>
      </w:r>
    </w:p>
    <w:p>
      <w:r>
        <w:t>Grupo RYS contratará y pagará directamente el servidor de Contabo, el dominio y sus renovaciones. También suministrará los accesos, contenidos, cuentas y permisos necesarios para la instalación y para conectar Google Drive. Estos costos no están incluidos en los $14.000.000 COP.</w:t>
      </w:r>
    </w:p>
    <w:p>
      <w:pPr>
        <w:pStyle w:val="Heading1"/>
      </w:pPr>
      <w:r>
        <w:t>Entrega y aceptación</w:t>
      </w:r>
    </w:p>
    <w:p>
      <w:r>
        <w:t>La entrega se considera realizada cuando la aplicación esté instalada en el servidor del cliente, el acceso administrador esté habilitado, y ambas partes revisen un flujo representativo: crear o importar un informe, adjuntar evidencias y generar o descargar sus documentos. El cliente facilitará oportunamente el servidor, el dominio, las credenciales y un informe de prueba.</w:t>
      </w:r>
    </w:p>
    <w:p>
      <w:pPr>
        <w:pStyle w:val="Heading1"/>
      </w:pPr>
      <w:r>
        <w:t>Soporte y trabajos posteriores</w:t>
      </w:r>
    </w:p>
    <w:p>
      <w:r>
        <w:t>No se cobra mensualidad. El soporte posterior, los ajustes y los módulos nuevos se cotizan y ejecutan con aprobación previa del cliente a una tarifa de $150.000 COP por hora. Se registra el tiempo utilizado y se factura por horas efectivamente trabajadas, con unidad mínima de una hora.</w:t>
      </w:r>
    </w:p>
    <w:p>
      <w:pPr>
        <w:pStyle w:val="Heading1"/>
      </w:pPr>
      <w:r>
        <w:t>Condiciones de la licencia</w:t>
      </w:r>
    </w:p>
    <w:p>
      <w:r>
        <w:t>La licencia autoriza el uso interno de la aplicación por Grupo RYS. No incluye entrega del código fuente, exclusividad, sublicencia ni transferencia de propiedad intelectual. El proveedor conserva los derechos sobre el desarrollo y sus componentes reutilizables. El cliente conserva la propiedad de sus datos, documentos, fotografías, dominio y cuentas contratadas.</w:t>
      </w:r>
    </w:p>
    <w:p>
      <w:pPr>
        <w:pStyle w:val="Heading1"/>
      </w:pPr>
      <w:r>
        <w:t>Vigencia y aceptación</w:t>
      </w:r>
    </w:p>
    <w:p>
      <w:r>
        <w:t>Esta cotización tiene vigencia de 15 días calendario desde su fecha de emisión. El cronograma se acuerda al recibir el primer pago y los accesos requeridos. Para aceptar, completar los datos pendientes y firmar ambas partes.</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c>
          <w:tcPr>
            <w:tcW w:type="dxa" w:w="4997"/>
            <w:vAlign w:val="center"/>
          </w:tcPr>
          <w:p>
            <w:pPr>
              <w:spacing w:after="20"/>
            </w:pPr>
            <w:r/>
            <w:r>
              <w:rPr>
                <w:rFonts w:ascii="Aptos" w:hAnsi="Aptos"/>
                <w:b/>
                <w:sz w:val="18"/>
              </w:rPr>
              <w:t>POR EL PROVEEDOR</w:t>
            </w:r>
          </w:p>
        </w:tc>
        <w:tc>
          <w:tcPr>
            <w:tcW w:type="dxa" w:w="4997"/>
            <w:vAlign w:val="center"/>
          </w:tcPr>
          <w:p>
            <w:pPr>
              <w:spacing w:after="20"/>
            </w:pPr>
            <w:r/>
            <w:r>
              <w:rPr>
                <w:rFonts w:ascii="Aptos" w:hAnsi="Aptos"/>
                <w:b/>
                <w:sz w:val="18"/>
              </w:rPr>
              <w:t>POR EL CLIENTE</w:t>
            </w:r>
          </w:p>
        </w:tc>
      </w:tr>
      <w:tr>
        <w:tc>
          <w:tcPr>
            <w:tcW w:type="dxa" w:w="4997"/>
            <w:vAlign w:val="center"/>
          </w:tcPr>
          <w:p>
            <w:pPr>
              <w:spacing w:after="20"/>
            </w:pPr>
            <w:r/>
            <w:r>
              <w:rPr>
                <w:rFonts w:ascii="Aptos" w:hAnsi="Aptos"/>
                <w:b w:val="0"/>
                <w:sz w:val="18"/>
              </w:rPr>
              <w:t>Firma: __________________________</w:t>
              <w:br/>
              <w:t>Nombre: Alexander Londoño</w:t>
              <w:br/>
              <w:t>CC: 1038114508</w:t>
            </w:r>
          </w:p>
        </w:tc>
        <w:tc>
          <w:tcPr>
            <w:tcW w:type="dxa" w:w="4997"/>
            <w:vAlign w:val="center"/>
          </w:tcPr>
          <w:p>
            <w:pPr>
              <w:spacing w:after="20"/>
            </w:pPr>
            <w:r/>
            <w:r>
              <w:rPr>
                <w:rFonts w:ascii="Aptos" w:hAnsi="Aptos"/>
                <w:b w:val="0"/>
                <w:sz w:val="18"/>
              </w:rPr>
              <w:t>Firma: __________________________</w:t>
              <w:br/>
              <w:t>Nombre: [representante autorizado]</w:t>
              <w:br/>
              <w:t>CC/NIT: [completar]</w:t>
            </w:r>
          </w:p>
        </w:tc>
      </w:tr>
    </w:tbl>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Cotización de implementación · Sistema de informes de actividades · Grupo RYS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