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557"/>
          <w:spacing w:val="30"/>
          <w:sz w:val="44"/>
          <w:szCs w:val="44"/>
        </w:rPr>
        <w:t xml:space="preserve">ALEX COBOS</w:t>
      </w:r>
    </w:p>
    <w:p>
      <w:pPr>
        <w:spacing w:after="60"/>
        <w:jc w:val="center"/>
      </w:pPr>
      <w:r>
        <w:rPr>
          <w:rFonts w:ascii="Calibri" w:cs="Calibri" w:eastAsia="Calibri" w:hAnsi="Calibri"/>
          <w:b/>
          <w:bCs/>
          <w:color w:val="C15F3C"/>
          <w:sz w:val="24"/>
          <w:szCs w:val="24"/>
        </w:rPr>
        <w:t xml:space="preserve">Customer Success Manager — Enterprise SaaS &amp; AI Adoption</w:t>
      </w:r>
    </w:p>
    <w:p>
      <w:pPr>
        <w:spacing w:after="140"/>
        <w:jc w:val="center"/>
      </w:pPr>
      <w:r>
        <w:rPr>
          <w:rFonts w:ascii="Calibri" w:cs="Calibri" w:eastAsia="Calibri" w:hAnsi="Calibri"/>
          <w:color w:val="595959"/>
          <w:sz w:val="20"/>
          <w:szCs w:val="20"/>
        </w:rPr>
        <w:t xml:space="preserve">London, UK   |   alex.lopcob@gmail.com   |   +44 7432 686793   |   linkedin.com/in/alex-cobos</w:t>
      </w:r>
    </w:p>
    <w:tbl>
      <w:tblPr>
        <w:tblW w:type="dxa" w:w="10466"/>
        <w:tblBorders>
          <w:top w:val="none" w:color="FFFFFF" w:sz="0"/>
          <w:left w:val="none" w:color="FFFFFF" w:sz="0"/>
          <w:bottom w:val="none" w:color="FFFFFF" w:sz="0"/>
          <w:right w:val="none" w:color="FFFFFF" w:sz="0"/>
          <w:insideH w:val="none" w:color="FFFFFF" w:sz="0"/>
          <w:insideV w:val="single" w:color="FFFFFF" w:sz="12"/>
        </w:tblBorders>
      </w:tblPr>
      <w:tblGrid>
        <w:gridCol w:w="2616"/>
        <w:gridCol w:w="2616"/>
        <w:gridCol w:w="2616"/>
        <w:gridCol w:w="2618"/>
      </w:tblGrid>
      <w:tr>
        <w:tc>
          <w:tcPr>
            <w:tcW w:type="dxa" w:w="2616"/>
            <w:tcBorders>
              <w:top w:val="none" w:color="FFFFFF" w:sz="0"/>
              <w:left w:val="none" w:color="FFFFFF" w:sz="0"/>
              <w:bottom w:val="none" w:color="FFFFFF" w:sz="0"/>
              <w:right w:val="none" w:color="FFFFFF" w:sz="0"/>
            </w:tcBorders>
            <w:shd w:fill="F2EEE9" w:val="clear"/>
            <w:tcMar>
              <w:top w:type="dxa" w:w="100"/>
              <w:left w:type="dxa" w:w="60"/>
              <w:bottom w:type="dxa" w:w="100"/>
              <w:right w:type="dxa" w:w="60"/>
            </w:tcMar>
          </w:tcPr>
          <w:p>
            <w:pPr>
              <w:spacing w:after="20"/>
              <w:jc w:val="center"/>
            </w:pPr>
            <w:r>
              <w:rPr>
                <w:rFonts w:ascii="Calibri" w:cs="Calibri" w:eastAsia="Calibri" w:hAnsi="Calibri"/>
                <w:b/>
                <w:bCs/>
                <w:color w:val="C15F3C"/>
                <w:sz w:val="26"/>
                <w:szCs w:val="26"/>
              </w:rPr>
              <w:t xml:space="preserve">$11M+</w:t>
            </w:r>
          </w:p>
          <w:p>
            <w:pPr>
              <w:jc w:val="center"/>
            </w:pPr>
            <w:r>
              <w:rPr>
                <w:rFonts w:ascii="Calibri" w:cs="Calibri" w:eastAsia="Calibri" w:hAnsi="Calibri"/>
                <w:color w:val="595959"/>
                <w:sz w:val="18"/>
                <w:szCs w:val="18"/>
              </w:rPr>
              <w:t xml:space="preserve">ARR Portfolio</w:t>
            </w:r>
          </w:p>
        </w:tc>
        <w:tc>
          <w:tcPr>
            <w:tcW w:type="dxa" w:w="2616"/>
            <w:tcBorders>
              <w:top w:val="none" w:color="FFFFFF" w:sz="0"/>
              <w:left w:val="none" w:color="FFFFFF" w:sz="0"/>
              <w:bottom w:val="none" w:color="FFFFFF" w:sz="0"/>
              <w:right w:val="none" w:color="FFFFFF" w:sz="0"/>
            </w:tcBorders>
            <w:shd w:fill="F2EEE9" w:val="clear"/>
            <w:tcMar>
              <w:top w:type="dxa" w:w="100"/>
              <w:left w:type="dxa" w:w="60"/>
              <w:bottom w:type="dxa" w:w="100"/>
              <w:right w:type="dxa" w:w="60"/>
            </w:tcMar>
          </w:tcPr>
          <w:p>
            <w:pPr>
              <w:spacing w:after="20"/>
              <w:jc w:val="center"/>
            </w:pPr>
            <w:r>
              <w:rPr>
                <w:rFonts w:ascii="Calibri" w:cs="Calibri" w:eastAsia="Calibri" w:hAnsi="Calibri"/>
                <w:b/>
                <w:bCs/>
                <w:color w:val="C15F3C"/>
                <w:sz w:val="26"/>
                <w:szCs w:val="26"/>
              </w:rPr>
              <w:t xml:space="preserve">90%+</w:t>
            </w:r>
          </w:p>
          <w:p>
            <w:pPr>
              <w:jc w:val="center"/>
            </w:pPr>
            <w:r>
              <w:rPr>
                <w:rFonts w:ascii="Calibri" w:cs="Calibri" w:eastAsia="Calibri" w:hAnsi="Calibri"/>
                <w:color w:val="595959"/>
                <w:sz w:val="18"/>
                <w:szCs w:val="18"/>
              </w:rPr>
              <w:t xml:space="preserve">Renewal Rate</w:t>
            </w:r>
          </w:p>
        </w:tc>
        <w:tc>
          <w:tcPr>
            <w:tcW w:type="dxa" w:w="2616"/>
            <w:tcBorders>
              <w:top w:val="none" w:color="FFFFFF" w:sz="0"/>
              <w:left w:val="none" w:color="FFFFFF" w:sz="0"/>
              <w:bottom w:val="none" w:color="FFFFFF" w:sz="0"/>
              <w:right w:val="none" w:color="FFFFFF" w:sz="0"/>
            </w:tcBorders>
            <w:shd w:fill="F2EEE9" w:val="clear"/>
            <w:tcMar>
              <w:top w:type="dxa" w:w="100"/>
              <w:left w:type="dxa" w:w="60"/>
              <w:bottom w:type="dxa" w:w="100"/>
              <w:right w:type="dxa" w:w="60"/>
            </w:tcMar>
          </w:tcPr>
          <w:p>
            <w:pPr>
              <w:spacing w:after="20"/>
              <w:jc w:val="center"/>
            </w:pPr>
            <w:r>
              <w:rPr>
                <w:rFonts w:ascii="Calibri" w:cs="Calibri" w:eastAsia="Calibri" w:hAnsi="Calibri"/>
                <w:b/>
                <w:bCs/>
                <w:color w:val="C15F3C"/>
                <w:sz w:val="26"/>
                <w:szCs w:val="26"/>
              </w:rPr>
              <w:t xml:space="preserve">125%</w:t>
            </w:r>
          </w:p>
          <w:p>
            <w:pPr>
              <w:jc w:val="center"/>
            </w:pPr>
            <w:r>
              <w:rPr>
                <w:rFonts w:ascii="Calibri" w:cs="Calibri" w:eastAsia="Calibri" w:hAnsi="Calibri"/>
                <w:color w:val="595959"/>
                <w:sz w:val="18"/>
                <w:szCs w:val="18"/>
              </w:rPr>
              <w:t xml:space="preserve">Net Revenue Retention</w:t>
            </w:r>
          </w:p>
        </w:tc>
        <w:tc>
          <w:tcPr>
            <w:tcW w:type="dxa" w:w="2616"/>
            <w:tcBorders>
              <w:top w:val="none" w:color="FFFFFF" w:sz="0"/>
              <w:left w:val="none" w:color="FFFFFF" w:sz="0"/>
              <w:bottom w:val="none" w:color="FFFFFF" w:sz="0"/>
              <w:right w:val="none" w:color="FFFFFF" w:sz="0"/>
            </w:tcBorders>
            <w:shd w:fill="F2EEE9" w:val="clear"/>
            <w:tcMar>
              <w:top w:type="dxa" w:w="100"/>
              <w:left w:type="dxa" w:w="60"/>
              <w:bottom w:type="dxa" w:w="100"/>
              <w:right w:type="dxa" w:w="60"/>
            </w:tcMar>
          </w:tcPr>
          <w:p>
            <w:pPr>
              <w:spacing w:after="20"/>
              <w:jc w:val="center"/>
            </w:pPr>
            <w:r>
              <w:rPr>
                <w:rFonts w:ascii="Calibri" w:cs="Calibri" w:eastAsia="Calibri" w:hAnsi="Calibri"/>
                <w:b/>
                <w:bCs/>
                <w:color w:val="C15F3C"/>
                <w:sz w:val="26"/>
                <w:szCs w:val="26"/>
              </w:rPr>
              <w:t xml:space="preserve">15+ yrs</w:t>
            </w:r>
          </w:p>
          <w:p>
            <w:pPr>
              <w:jc w:val="center"/>
            </w:pPr>
            <w:r>
              <w:rPr>
                <w:rFonts w:ascii="Calibri" w:cs="Calibri" w:eastAsia="Calibri" w:hAnsi="Calibri"/>
                <w:color w:val="595959"/>
                <w:sz w:val="18"/>
                <w:szCs w:val="18"/>
              </w:rPr>
              <w:t xml:space="preserve">Client-Facing, Full Cycle</w:t>
            </w:r>
          </w:p>
        </w:tc>
      </w:tr>
    </w:tbl>
    <w:p>
      <w:pPr>
        <w:pBdr>
          <w:bottom w:val="single" w:color="1F3557" w:sz="6"/>
        </w:pBdr>
        <w:spacing w:after="90" w:before="220"/>
      </w:pPr>
      <w:r>
        <w:rPr>
          <w:rFonts w:ascii="Calibri" w:cs="Calibri" w:eastAsia="Calibri" w:hAnsi="Calibri"/>
          <w:b/>
          <w:bCs/>
          <w:caps/>
          <w:color w:val="1F3557"/>
          <w:spacing w:val="20"/>
          <w:sz w:val="22"/>
          <w:szCs w:val="22"/>
        </w:rPr>
        <w:t xml:space="preserve">Professional Summary</w:t>
      </w:r>
    </w:p>
    <w:p>
      <w:pPr>
        <w:spacing w:after="60" w:line="256" w:lineRule="auto"/>
      </w:pPr>
      <w:r>
        <w:rPr>
          <w:rFonts w:ascii="Calibri" w:cs="Calibri" w:eastAsia="Calibri" w:hAnsi="Calibri"/>
          <w:sz w:val="21"/>
          <w:szCs w:val="21"/>
        </w:rPr>
        <w:t xml:space="preserve">Customer Success leader with </w:t>
      </w:r>
      <w:r>
        <w:rPr>
          <w:rFonts w:ascii="Calibri" w:cs="Calibri" w:eastAsia="Calibri" w:hAnsi="Calibri"/>
          <w:b/>
          <w:bCs/>
          <w:sz w:val="21"/>
          <w:szCs w:val="21"/>
        </w:rPr>
        <w:t xml:space="preserve">15+ years in client-facing roles across the full sales cycle</w:t>
      </w:r>
      <w:r>
        <w:rPr>
          <w:rFonts w:ascii="Calibri" w:cs="Calibri" w:eastAsia="Calibri" w:hAnsi="Calibri"/>
          <w:sz w:val="21"/>
          <w:szCs w:val="21"/>
        </w:rPr>
        <w:t xml:space="preserve"> — from new business development to strategic account management, relationship management, and </w:t>
      </w:r>
      <w:r>
        <w:rPr>
          <w:rFonts w:ascii="Calibri" w:cs="Calibri" w:eastAsia="Calibri" w:hAnsi="Calibri"/>
          <w:b/>
          <w:bCs/>
          <w:sz w:val="21"/>
          <w:szCs w:val="21"/>
        </w:rPr>
        <w:t xml:space="preserve">C-suite advisory</w:t>
      </w:r>
      <w:r>
        <w:rPr>
          <w:rFonts w:ascii="Calibri" w:cs="Calibri" w:eastAsia="Calibri" w:hAnsi="Calibri"/>
          <w:sz w:val="21"/>
          <w:szCs w:val="21"/>
        </w:rPr>
        <w:t xml:space="preserve"> — built at </w:t>
      </w:r>
      <w:r>
        <w:rPr>
          <w:rFonts w:ascii="Calibri" w:cs="Calibri" w:eastAsia="Calibri" w:hAnsi="Calibri"/>
          <w:b/>
          <w:bCs/>
          <w:sz w:val="21"/>
          <w:szCs w:val="21"/>
        </w:rPr>
        <w:t xml:space="preserve">US-headquartered SaaS companies (Coursera, Wiley)</w:t>
      </w:r>
      <w:r>
        <w:rPr>
          <w:rFonts w:ascii="Calibri" w:cs="Calibri" w:eastAsia="Calibri" w:hAnsi="Calibri"/>
          <w:sz w:val="21"/>
          <w:szCs w:val="21"/>
        </w:rPr>
        <w:t xml:space="preserve"> serving enterprise customers across EMEA from London. Managed </w:t>
      </w:r>
      <w:r>
        <w:rPr>
          <w:rFonts w:ascii="Calibri" w:cs="Calibri" w:eastAsia="Calibri" w:hAnsi="Calibri"/>
          <w:b/>
          <w:bCs/>
          <w:sz w:val="21"/>
          <w:szCs w:val="21"/>
        </w:rPr>
        <w:t xml:space="preserve">$11M+ ARR across 30+ strategic accounts</w:t>
      </w:r>
      <w:r>
        <w:rPr>
          <w:rFonts w:ascii="Calibri" w:cs="Calibri" w:eastAsia="Calibri" w:hAnsi="Calibri"/>
          <w:sz w:val="21"/>
          <w:szCs w:val="21"/>
        </w:rPr>
        <w:t xml:space="preserve"> (Volkswagen Group, Novartis, HSBC, BBVA) with 90%+ renewal rates and 125% NRR. </w:t>
      </w:r>
      <w:r>
        <w:rPr>
          <w:rFonts w:ascii="Calibri" w:cs="Calibri" w:eastAsia="Calibri" w:hAnsi="Calibri"/>
          <w:b/>
          <w:bCs/>
          <w:sz w:val="21"/>
          <w:szCs w:val="21"/>
        </w:rPr>
        <w:t xml:space="preserve">Daily Claude power user</w:t>
      </w:r>
      <w:r>
        <w:rPr>
          <w:rFonts w:ascii="Calibri" w:cs="Calibri" w:eastAsia="Calibri" w:hAnsi="Calibri"/>
          <w:sz w:val="21"/>
          <w:szCs w:val="21"/>
        </w:rPr>
        <w:t xml:space="preserve"> with hands-on command of Anthropic’s offering — </w:t>
      </w:r>
      <w:r>
        <w:rPr>
          <w:rFonts w:ascii="Calibri" w:cs="Calibri" w:eastAsia="Calibri" w:hAnsi="Calibri"/>
          <w:b/>
          <w:bCs/>
          <w:sz w:val="21"/>
          <w:szCs w:val="21"/>
        </w:rPr>
        <w:t xml:space="preserve">Claude, Claude Code, and the API</w:t>
      </w:r>
      <w:r>
        <w:rPr>
          <w:rFonts w:ascii="Calibri" w:cs="Calibri" w:eastAsia="Calibri" w:hAnsi="Calibri"/>
          <w:sz w:val="21"/>
          <w:szCs w:val="21"/>
        </w:rPr>
        <w:t xml:space="preserve"> — building custom AI agents that run my current business’s GTM and customer workflows. Genuinely passionate about what Anthropic is building and about helping enterprises turn frontier AI into measurable outcomes, safely.</w:t>
      </w:r>
    </w:p>
    <w:p>
      <w:pPr>
        <w:pBdr>
          <w:bottom w:val="single" w:color="1F3557" w:sz="6"/>
        </w:pBdr>
        <w:spacing w:after="90" w:before="220"/>
      </w:pPr>
      <w:r>
        <w:rPr>
          <w:rFonts w:ascii="Calibri" w:cs="Calibri" w:eastAsia="Calibri" w:hAnsi="Calibri"/>
          <w:b/>
          <w:bCs/>
          <w:caps/>
          <w:color w:val="1F3557"/>
          <w:spacing w:val="20"/>
          <w:sz w:val="22"/>
          <w:szCs w:val="22"/>
        </w:rPr>
        <w:t xml:space="preserve">Professional Experience</w:t>
      </w:r>
    </w:p>
    <w:p>
      <w:pPr>
        <w:tabs>
          <w:tab w:val="right" w:pos="10466"/>
        </w:tabs>
        <w:spacing w:after="40" w:before="160"/>
      </w:pPr>
      <w:r>
        <w:rPr>
          <w:rFonts w:ascii="Calibri" w:cs="Calibri" w:eastAsia="Calibri" w:hAnsi="Calibri"/>
          <w:b/>
          <w:bCs/>
          <w:color w:val="000000"/>
          <w:sz w:val="22"/>
          <w:szCs w:val="22"/>
        </w:rPr>
        <w:t xml:space="preserve">Pressure Calibration™</w:t>
      </w:r>
      <w:r>
        <w:rPr>
          <w:rFonts w:ascii="Calibri" w:cs="Calibri" w:eastAsia="Calibri" w:hAnsi="Calibri"/>
          <w:i/>
          <w:iCs/>
          <w:color w:val="595959"/>
          <w:sz w:val="21"/>
          <w:szCs w:val="21"/>
        </w:rPr>
        <w:t xml:space="preserve">  |  Co-Founder &amp; Commercial Lead · London</w:t>
      </w:r>
      <w:r>
        <w:rPr>
          <w:rFonts w:ascii="Calibri" w:cs="Calibri" w:eastAsia="Calibri" w:hAnsi="Calibri"/>
          <w:b/>
          <w:bCs/>
          <w:color w:val="1F3557"/>
          <w:sz w:val="20"/>
          <w:szCs w:val="20"/>
        </w:rPr>
        <w:t xml:space="preserve">	Feb 2025 – Present</w:t>
      </w:r>
    </w:p>
    <w:p>
      <w:pPr>
        <w:pStyle w:val="ListParagraph"/>
        <w:numPr>
          <w:ilvl w:val="0"/>
          <w:numId w:val="2"/>
        </w:numPr>
        <w:spacing w:after="40" w:line="252" w:lineRule="auto"/>
      </w:pPr>
      <w:r>
        <w:rPr>
          <w:rFonts w:ascii="Calibri" w:cs="Calibri" w:eastAsia="Calibri" w:hAnsi="Calibri"/>
          <w:sz w:val="21"/>
          <w:szCs w:val="21"/>
        </w:rPr>
        <w:t xml:space="preserve">Built a performance infrastructure business from zero: go-to-market strategy, CS framework, onboarding architecture, and diagnostic playbooks targeting enterprise revenue leaders — foundational build experience directly applicable to an early in-region CS team.</w:t>
      </w:r>
    </w:p>
    <w:p>
      <w:pPr>
        <w:pStyle w:val="ListParagraph"/>
        <w:numPr>
          <w:ilvl w:val="0"/>
          <w:numId w:val="2"/>
        </w:numPr>
        <w:spacing w:after="40" w:line="252" w:lineRule="auto"/>
      </w:pPr>
      <w:r>
        <w:rPr>
          <w:rFonts w:ascii="Calibri" w:cs="Calibri" w:eastAsia="Calibri" w:hAnsi="Calibri"/>
          <w:b/>
          <w:bCs/>
          <w:sz w:val="21"/>
          <w:szCs w:val="21"/>
        </w:rPr>
        <w:t xml:space="preserve">Design, build, and run custom AI agents with Claude Code</w:t>
      </w:r>
      <w:r>
        <w:rPr>
          <w:rFonts w:ascii="Calibri" w:cs="Calibri" w:eastAsia="Calibri" w:hAnsi="Calibri"/>
          <w:sz w:val="21"/>
          <w:szCs w:val="21"/>
        </w:rPr>
        <w:t xml:space="preserve"> powering the company’s day-to-day operations — prospect research, outreach sequencing, onboarding content, and customer diagnostics — giving me practitioner-level fluency in agentic workflows, prompting techniques, and API-based integration patterns.</w:t>
      </w:r>
    </w:p>
    <w:p>
      <w:pPr>
        <w:pStyle w:val="ListParagraph"/>
        <w:numPr>
          <w:ilvl w:val="0"/>
          <w:numId w:val="2"/>
        </w:numPr>
        <w:spacing w:after="40" w:line="252" w:lineRule="auto"/>
      </w:pPr>
      <w:r>
        <w:rPr>
          <w:rFonts w:ascii="Calibri" w:cs="Calibri" w:eastAsia="Calibri" w:hAnsi="Calibri"/>
          <w:sz w:val="21"/>
          <w:szCs w:val="21"/>
        </w:rPr>
        <w:t xml:space="preserve">Created scalable customer-facing playbooks, success-measurement models, and documentation to support independent customer adoption; evaluated and implemented the SaaS tooling stack end-to-end.</w:t>
      </w:r>
    </w:p>
    <w:p>
      <w:pPr>
        <w:tabs>
          <w:tab w:val="right" w:pos="10466"/>
        </w:tabs>
        <w:spacing w:after="40" w:before="160"/>
      </w:pPr>
      <w:r>
        <w:rPr>
          <w:rFonts w:ascii="Calibri" w:cs="Calibri" w:eastAsia="Calibri" w:hAnsi="Calibri"/>
          <w:b/>
          <w:bCs/>
          <w:color w:val="000000"/>
          <w:sz w:val="22"/>
          <w:szCs w:val="22"/>
        </w:rPr>
        <w:t xml:space="preserve">Coursera</w:t>
      </w:r>
      <w:r>
        <w:rPr>
          <w:rFonts w:ascii="Calibri" w:cs="Calibri" w:eastAsia="Calibri" w:hAnsi="Calibri"/>
          <w:i/>
          <w:iCs/>
          <w:color w:val="595959"/>
          <w:sz w:val="21"/>
          <w:szCs w:val="21"/>
        </w:rPr>
        <w:t xml:space="preserve">  |  Senior Customer Success Manager — Strategic Accounts · London</w:t>
      </w:r>
      <w:r>
        <w:rPr>
          <w:rFonts w:ascii="Calibri" w:cs="Calibri" w:eastAsia="Calibri" w:hAnsi="Calibri"/>
          <w:b/>
          <w:bCs/>
          <w:color w:val="1F3557"/>
          <w:sz w:val="20"/>
          <w:szCs w:val="20"/>
        </w:rPr>
        <w:t xml:space="preserve">	May 2021 – Feb 2025</w:t>
      </w:r>
    </w:p>
    <w:p>
      <w:pPr>
        <w:pStyle w:val="ListParagraph"/>
        <w:numPr>
          <w:ilvl w:val="0"/>
          <w:numId w:val="2"/>
        </w:numPr>
        <w:spacing w:after="40" w:line="252" w:lineRule="auto"/>
      </w:pPr>
      <w:r>
        <w:rPr>
          <w:rFonts w:ascii="Calibri" w:cs="Calibri" w:eastAsia="Calibri" w:hAnsi="Calibri"/>
          <w:b/>
          <w:bCs/>
          <w:sz w:val="21"/>
          <w:szCs w:val="21"/>
        </w:rPr>
        <w:t xml:space="preserve">US-headquartered SaaS company:</w:t>
      </w:r>
      <w:r>
        <w:rPr>
          <w:rFonts w:ascii="Calibri" w:cs="Calibri" w:eastAsia="Calibri" w:hAnsi="Calibri"/>
          <w:sz w:val="21"/>
          <w:szCs w:val="21"/>
        </w:rPr>
        <w:t xml:space="preserve"> operated as the EMEA-based owner of strategic accounts, partnering daily across time zones with US-based Product, Engineering, and Sales — the voice of the customer into HQ roadmap prioritisation.</w:t>
      </w:r>
    </w:p>
    <w:p>
      <w:pPr>
        <w:pStyle w:val="ListParagraph"/>
        <w:numPr>
          <w:ilvl w:val="0"/>
          <w:numId w:val="2"/>
        </w:numPr>
        <w:spacing w:after="40" w:line="252" w:lineRule="auto"/>
      </w:pPr>
      <w:r>
        <w:rPr>
          <w:rFonts w:ascii="Calibri" w:cs="Calibri" w:eastAsia="Calibri" w:hAnsi="Calibri"/>
          <w:sz w:val="21"/>
          <w:szCs w:val="21"/>
        </w:rPr>
        <w:t xml:space="preserve">Owned </w:t>
      </w:r>
      <w:r>
        <w:rPr>
          <w:rFonts w:ascii="Calibri" w:cs="Calibri" w:eastAsia="Calibri" w:hAnsi="Calibri"/>
          <w:b/>
          <w:bCs/>
          <w:sz w:val="21"/>
          <w:szCs w:val="21"/>
        </w:rPr>
        <w:t xml:space="preserve">$11M+ ARR across 30 strategic accounts</w:t>
      </w:r>
      <w:r>
        <w:rPr>
          <w:rFonts w:ascii="Calibri" w:cs="Calibri" w:eastAsia="Calibri" w:hAnsi="Calibri"/>
          <w:sz w:val="21"/>
          <w:szCs w:val="21"/>
        </w:rPr>
        <w:t xml:space="preserve"> (Volkswagen Group, Novartis, HSBC, BBVA) as primary strategic advisor to C-suite and VP-level executives.</w:t>
      </w:r>
    </w:p>
    <w:p>
      <w:pPr>
        <w:pStyle w:val="ListParagraph"/>
        <w:numPr>
          <w:ilvl w:val="0"/>
          <w:numId w:val="2"/>
        </w:numPr>
        <w:spacing w:after="40" w:line="252" w:lineRule="auto"/>
      </w:pPr>
      <w:r>
        <w:rPr>
          <w:rFonts w:ascii="Calibri" w:cs="Calibri" w:eastAsia="Calibri" w:hAnsi="Calibri"/>
          <w:sz w:val="21"/>
          <w:szCs w:val="21"/>
        </w:rPr>
        <w:t xml:space="preserve">Delivered </w:t>
      </w:r>
      <w:r>
        <w:rPr>
          <w:rFonts w:ascii="Calibri" w:cs="Calibri" w:eastAsia="Calibri" w:hAnsi="Calibri"/>
          <w:b/>
          <w:bCs/>
          <w:sz w:val="21"/>
          <w:szCs w:val="21"/>
        </w:rPr>
        <w:t xml:space="preserve">90%+ renewal rates and 125% NRR</w:t>
      </w:r>
      <w:r>
        <w:rPr>
          <w:rFonts w:ascii="Calibri" w:cs="Calibri" w:eastAsia="Calibri" w:hAnsi="Calibri"/>
          <w:sz w:val="21"/>
          <w:szCs w:val="21"/>
        </w:rPr>
        <w:t xml:space="preserve"> through proactive risk mitigation, outcome-focused success planning, and rigorous health tracking; prevented six-figure churn events and drove hundreds of thousands in incremental expansion ARR.</w:t>
      </w:r>
    </w:p>
    <w:p>
      <w:pPr>
        <w:pStyle w:val="ListParagraph"/>
        <w:numPr>
          <w:ilvl w:val="0"/>
          <w:numId w:val="2"/>
        </w:numPr>
        <w:spacing w:after="40" w:line="252" w:lineRule="auto"/>
      </w:pPr>
      <w:r>
        <w:rPr>
          <w:rFonts w:ascii="Calibri" w:cs="Calibri" w:eastAsia="Calibri" w:hAnsi="Calibri"/>
          <w:sz w:val="21"/>
          <w:szCs w:val="21"/>
        </w:rPr>
        <w:t xml:space="preserve">Led end-to-end onboarding and adoption: monitored usage patterns to surface underutilisation, built adoption roadmaps, and removed barriers through change-management and enablement programmes across complex multi-stakeholder enterprise environments.</w:t>
      </w:r>
    </w:p>
    <w:p>
      <w:pPr>
        <w:pStyle w:val="ListParagraph"/>
        <w:numPr>
          <w:ilvl w:val="0"/>
          <w:numId w:val="2"/>
        </w:numPr>
        <w:spacing w:after="40" w:line="252" w:lineRule="auto"/>
      </w:pPr>
      <w:r>
        <w:rPr>
          <w:rFonts w:ascii="Calibri" w:cs="Calibri" w:eastAsia="Calibri" w:hAnsi="Calibri"/>
          <w:sz w:val="21"/>
          <w:szCs w:val="21"/>
        </w:rPr>
        <w:t xml:space="preserve">Ran Executive Business Reviews with Fortune 500 stakeholders, translating platform outcomes into measurable ROI; built a CS measurement framework centred on NRR, gross retention, and health scoring using Gainsight, Tableau, and Power BI.</w:t>
      </w:r>
    </w:p>
    <w:p>
      <w:pPr>
        <w:pStyle w:val="ListParagraph"/>
        <w:numPr>
          <w:ilvl w:val="0"/>
          <w:numId w:val="2"/>
        </w:numPr>
        <w:spacing w:after="40" w:line="252" w:lineRule="auto"/>
      </w:pPr>
      <w:r>
        <w:rPr>
          <w:rFonts w:ascii="Calibri" w:cs="Calibri" w:eastAsia="Calibri" w:hAnsi="Calibri"/>
          <w:sz w:val="21"/>
          <w:szCs w:val="21"/>
        </w:rPr>
        <w:t xml:space="preserve">Mentored CSMs, wrote the team’s process documentation and playbooks, and supported hiring and onboarding as the function scaled.</w:t>
      </w:r>
    </w:p>
    <w:p>
      <w:pPr>
        <w:tabs>
          <w:tab w:val="right" w:pos="10466"/>
        </w:tabs>
        <w:spacing w:after="40" w:before="160"/>
      </w:pPr>
      <w:r>
        <w:rPr>
          <w:rFonts w:ascii="Calibri" w:cs="Calibri" w:eastAsia="Calibri" w:hAnsi="Calibri"/>
          <w:b/>
          <w:bCs/>
          <w:color w:val="000000"/>
          <w:sz w:val="22"/>
          <w:szCs w:val="22"/>
        </w:rPr>
        <w:t xml:space="preserve">Wiley / CrossKnowledge</w:t>
      </w:r>
      <w:r>
        <w:rPr>
          <w:rFonts w:ascii="Calibri" w:cs="Calibri" w:eastAsia="Calibri" w:hAnsi="Calibri"/>
          <w:i/>
          <w:iCs/>
          <w:color w:val="595959"/>
          <w:sz w:val="21"/>
          <w:szCs w:val="21"/>
        </w:rPr>
        <w:t xml:space="preserve">  |  Global Account Director · London</w:t>
      </w:r>
      <w:r>
        <w:rPr>
          <w:rFonts w:ascii="Calibri" w:cs="Calibri" w:eastAsia="Calibri" w:hAnsi="Calibri"/>
          <w:b/>
          <w:bCs/>
          <w:color w:val="1F3557"/>
          <w:sz w:val="20"/>
          <w:szCs w:val="20"/>
        </w:rPr>
        <w:t xml:space="preserve">	Sept 2017 – May 2021</w:t>
      </w:r>
    </w:p>
    <w:p>
      <w:pPr>
        <w:pStyle w:val="ListParagraph"/>
        <w:numPr>
          <w:ilvl w:val="0"/>
          <w:numId w:val="2"/>
        </w:numPr>
        <w:spacing w:after="40" w:line="252" w:lineRule="auto"/>
      </w:pPr>
      <w:r>
        <w:rPr>
          <w:rFonts w:ascii="Calibri" w:cs="Calibri" w:eastAsia="Calibri" w:hAnsi="Calibri"/>
          <w:sz w:val="21"/>
          <w:szCs w:val="21"/>
        </w:rPr>
        <w:t xml:space="preserve">At US-headquartered Wiley, managed 30+ enterprise SaaS accounts across EMEA and LATAM (HSBC, Barclays, Fortune 500), sustaining 90%+ renewal rates across a multi-million-dollar portfolio.</w:t>
      </w:r>
    </w:p>
    <w:p>
      <w:pPr>
        <w:pStyle w:val="ListParagraph"/>
        <w:numPr>
          <w:ilvl w:val="0"/>
          <w:numId w:val="2"/>
        </w:numPr>
        <w:spacing w:after="40" w:line="252" w:lineRule="auto"/>
      </w:pPr>
      <w:r>
        <w:rPr>
          <w:rFonts w:ascii="Calibri" w:cs="Calibri" w:eastAsia="Calibri" w:hAnsi="Calibri"/>
          <w:sz w:val="21"/>
          <w:szCs w:val="21"/>
        </w:rPr>
        <w:t xml:space="preserve">Designed adoption and change-management frameworks serving thousands of end users — train-the-trainer style enablement that cut time-to-adoption and lifted measurable engagement across HR and L&amp;D platforms.</w:t>
      </w:r>
    </w:p>
    <w:p>
      <w:pPr>
        <w:pStyle w:val="ListParagraph"/>
        <w:numPr>
          <w:ilvl w:val="0"/>
          <w:numId w:val="2"/>
        </w:numPr>
        <w:spacing w:after="40" w:line="252" w:lineRule="auto"/>
      </w:pPr>
      <w:r>
        <w:rPr>
          <w:rFonts w:ascii="Calibri" w:cs="Calibri" w:eastAsia="Calibri" w:hAnsi="Calibri"/>
          <w:sz w:val="21"/>
          <w:szCs w:val="21"/>
        </w:rPr>
        <w:t xml:space="preserve">Built trusted-advisor relationships with C-level executives; navigated complex organisational silos to find expansion opportunities and exceed revenue targets.</w:t>
      </w:r>
    </w:p>
    <w:p>
      <w:pPr>
        <w:tabs>
          <w:tab w:val="right" w:pos="10466"/>
        </w:tabs>
        <w:spacing w:after="40" w:before="160"/>
      </w:pPr>
      <w:r>
        <w:rPr>
          <w:rFonts w:ascii="Calibri" w:cs="Calibri" w:eastAsia="Calibri" w:hAnsi="Calibri"/>
          <w:b/>
          <w:bCs/>
          <w:color w:val="000000"/>
          <w:sz w:val="22"/>
          <w:szCs w:val="22"/>
        </w:rPr>
        <w:t xml:space="preserve">Informa, Euromoney &amp; Financial Times</w:t>
      </w:r>
      <w:r>
        <w:rPr>
          <w:rFonts w:ascii="Calibri" w:cs="Calibri" w:eastAsia="Calibri" w:hAnsi="Calibri"/>
          <w:i/>
          <w:iCs/>
          <w:color w:val="595959"/>
          <w:sz w:val="21"/>
          <w:szCs w:val="21"/>
        </w:rPr>
        <w:t xml:space="preserve">  |  Enterprise Sales &amp; Account Management</w:t>
      </w:r>
      <w:r>
        <w:rPr>
          <w:rFonts w:ascii="Calibri" w:cs="Calibri" w:eastAsia="Calibri" w:hAnsi="Calibri"/>
          <w:b/>
          <w:bCs/>
          <w:color w:val="1F3557"/>
          <w:sz w:val="20"/>
          <w:szCs w:val="20"/>
        </w:rPr>
        <w:t xml:space="preserve">	2009 – 2017</w:t>
      </w:r>
    </w:p>
    <w:p>
      <w:pPr>
        <w:pStyle w:val="ListParagraph"/>
        <w:numPr>
          <w:ilvl w:val="0"/>
          <w:numId w:val="2"/>
        </w:numPr>
        <w:spacing w:after="40" w:line="252" w:lineRule="auto"/>
      </w:pPr>
      <w:r>
        <w:rPr>
          <w:rFonts w:ascii="Calibri" w:cs="Calibri" w:eastAsia="Calibri" w:hAnsi="Calibri"/>
          <w:sz w:val="21"/>
          <w:szCs w:val="21"/>
        </w:rPr>
        <w:t xml:space="preserve">Progressive B2B roles spanning </w:t>
      </w:r>
      <w:r>
        <w:rPr>
          <w:rFonts w:ascii="Calibri" w:cs="Calibri" w:eastAsia="Calibri" w:hAnsi="Calibri"/>
          <w:b/>
          <w:bCs/>
          <w:sz w:val="21"/>
          <w:szCs w:val="21"/>
        </w:rPr>
        <w:t xml:space="preserve">the whole sales cycle — new business development through account and relationship management</w:t>
      </w:r>
      <w:r>
        <w:rPr>
          <w:rFonts w:ascii="Calibri" w:cs="Calibri" w:eastAsia="Calibri" w:hAnsi="Calibri"/>
          <w:sz w:val="21"/>
          <w:szCs w:val="21"/>
        </w:rPr>
        <w:t xml:space="preserve"> — across Financial Services, Publishing, and Media.</w:t>
      </w:r>
    </w:p>
    <w:p>
      <w:pPr>
        <w:pStyle w:val="ListParagraph"/>
        <w:numPr>
          <w:ilvl w:val="0"/>
          <w:numId w:val="2"/>
        </w:numPr>
        <w:spacing w:after="40" w:line="252" w:lineRule="auto"/>
      </w:pPr>
      <w:r>
        <w:rPr>
          <w:rFonts w:ascii="Calibri" w:cs="Calibri" w:eastAsia="Calibri" w:hAnsi="Calibri"/>
          <w:sz w:val="21"/>
          <w:szCs w:val="21"/>
        </w:rPr>
        <w:t xml:space="preserve">Managed Fortune 500 relationships and complex multi-year deal cycles with a consistent record of revenue growth and customer retention.</w:t>
      </w:r>
    </w:p>
    <w:p>
      <w:pPr>
        <w:pBdr>
          <w:bottom w:val="single" w:color="1F3557" w:sz="6"/>
        </w:pBdr>
        <w:spacing w:after="90" w:before="220"/>
      </w:pPr>
      <w:r>
        <w:rPr>
          <w:rFonts w:ascii="Calibri" w:cs="Calibri" w:eastAsia="Calibri" w:hAnsi="Calibri"/>
          <w:b/>
          <w:bCs/>
          <w:caps/>
          <w:color w:val="1F3557"/>
          <w:spacing w:val="20"/>
          <w:sz w:val="22"/>
          <w:szCs w:val="22"/>
        </w:rPr>
        <w:t xml:space="preserve">AI &amp; Technical Fluency</w:t>
      </w:r>
    </w:p>
    <w:p>
      <w:pPr>
        <w:pStyle w:val="ListParagraph"/>
        <w:numPr>
          <w:ilvl w:val="0"/>
          <w:numId w:val="2"/>
        </w:numPr>
        <w:spacing w:after="40" w:line="252" w:lineRule="auto"/>
      </w:pPr>
      <w:r>
        <w:rPr>
          <w:rFonts w:ascii="Calibri" w:cs="Calibri" w:eastAsia="Calibri" w:hAnsi="Calibri"/>
          <w:b/>
          <w:bCs/>
          <w:sz w:val="21"/>
          <w:szCs w:val="21"/>
        </w:rPr>
        <w:t xml:space="preserve">Anthropic offering, hands-on: </w:t>
      </w:r>
      <w:r>
        <w:rPr>
          <w:rFonts w:ascii="Calibri" w:cs="Calibri" w:eastAsia="Calibri" w:hAnsi="Calibri"/>
          <w:sz w:val="21"/>
          <w:szCs w:val="21"/>
        </w:rPr>
        <w:t xml:space="preserve">daily Claude (Max) power user; build and orchestrate agents with Claude Code; working knowledge of the API, prompting techniques, and AI/ML concepts and how they map to enterprise use cases.</w:t>
      </w:r>
    </w:p>
    <w:p>
      <w:pPr>
        <w:pStyle w:val="ListParagraph"/>
        <w:numPr>
          <w:ilvl w:val="0"/>
          <w:numId w:val="2"/>
        </w:numPr>
        <w:spacing w:after="40" w:line="252" w:lineRule="auto"/>
      </w:pPr>
      <w:r>
        <w:rPr>
          <w:rFonts w:ascii="Calibri" w:cs="Calibri" w:eastAsia="Calibri" w:hAnsi="Calibri"/>
          <w:b/>
          <w:bCs/>
          <w:sz w:val="21"/>
          <w:szCs w:val="21"/>
        </w:rPr>
        <w:t xml:space="preserve">Applied agentic AI: </w:t>
      </w:r>
      <w:r>
        <w:rPr>
          <w:rFonts w:ascii="Calibri" w:cs="Calibri" w:eastAsia="Calibri" w:hAnsi="Calibri"/>
          <w:sz w:val="21"/>
          <w:szCs w:val="21"/>
        </w:rPr>
        <w:t xml:space="preserve">custom agents in production for my own business across research, GTM, and customer success operations — I can credibly demo, teach, and troubleshoot AI workflows with both technical and non-technical stakeholders.</w:t>
      </w:r>
    </w:p>
    <w:p>
      <w:pPr>
        <w:pStyle w:val="ListParagraph"/>
        <w:numPr>
          <w:ilvl w:val="0"/>
          <w:numId w:val="2"/>
        </w:numPr>
        <w:spacing w:after="40" w:line="252" w:lineRule="auto"/>
      </w:pPr>
      <w:r>
        <w:rPr>
          <w:rFonts w:ascii="Calibri" w:cs="Calibri" w:eastAsia="Calibri" w:hAnsi="Calibri"/>
          <w:b/>
          <w:bCs/>
          <w:sz w:val="21"/>
          <w:szCs w:val="21"/>
        </w:rPr>
        <w:t xml:space="preserve">Certifications: </w:t>
      </w:r>
      <w:r>
        <w:rPr>
          <w:rFonts w:ascii="Calibri" w:cs="Calibri" w:eastAsia="Calibri" w:hAnsi="Calibri"/>
          <w:sz w:val="21"/>
          <w:szCs w:val="21"/>
        </w:rPr>
        <w:t xml:space="preserve">Anthropic &amp; DeepLearning.AI — AI/ML Applications (2024); Applied AI Workflows &amp; Automation (2024–2025).</w:t>
      </w:r>
    </w:p>
    <w:p>
      <w:pPr>
        <w:pStyle w:val="ListParagraph"/>
        <w:numPr>
          <w:ilvl w:val="0"/>
          <w:numId w:val="2"/>
        </w:numPr>
        <w:spacing w:after="40" w:line="252" w:lineRule="auto"/>
      </w:pPr>
      <w:r>
        <w:rPr>
          <w:rFonts w:ascii="Calibri" w:cs="Calibri" w:eastAsia="Calibri" w:hAnsi="Calibri"/>
          <w:b/>
          <w:bCs/>
          <w:sz w:val="21"/>
          <w:szCs w:val="21"/>
        </w:rPr>
        <w:t xml:space="preserve">Stack: </w:t>
      </w:r>
      <w:r>
        <w:rPr>
          <w:rFonts w:ascii="Calibri" w:cs="Calibri" w:eastAsia="Calibri" w:hAnsi="Calibri"/>
          <w:sz w:val="21"/>
          <w:szCs w:val="21"/>
        </w:rPr>
        <w:t xml:space="preserve">Gainsight · Salesforce · Tableau · Power BI · SaaS tooling evaluation &amp; implementation.</w:t>
      </w:r>
    </w:p>
    <w:p>
      <w:pPr>
        <w:pBdr>
          <w:bottom w:val="single" w:color="1F3557" w:sz="6"/>
        </w:pBdr>
        <w:spacing w:after="90" w:before="220"/>
      </w:pPr>
      <w:r>
        <w:rPr>
          <w:rFonts w:ascii="Calibri" w:cs="Calibri" w:eastAsia="Calibri" w:hAnsi="Calibri"/>
          <w:b/>
          <w:bCs/>
          <w:caps/>
          <w:color w:val="1F3557"/>
          <w:spacing w:val="20"/>
          <w:sz w:val="22"/>
          <w:szCs w:val="22"/>
        </w:rPr>
        <w:t xml:space="preserve">Core Competencies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c>
          <w:tcPr>
            <w:tcW w:type="dxa" w:w="5233"/>
            <w:tcBorders>
              <w:top w:val="none" w:color="FFFFFF" w:sz="0"/>
              <w:left w:val="none" w:color="FFFFFF" w:sz="0"/>
              <w:bottom w:val="none" w:color="FFFFFF" w:sz="0"/>
              <w:right w:val="none" w:color="FFFFFF" w:sz="0"/>
            </w:tcBorders>
            <w:tcMar>
              <w:top w:type="dxa" w:w="20"/>
              <w:left w:type="dxa" w:w="0"/>
              <w:bottom w:type="dxa" w:w="20"/>
              <w:right w:type="dxa" w:w="120"/>
            </w:tcMar>
          </w:tcPr>
          <w:p>
            <w:pPr>
              <w:pStyle w:val="ListParagraph"/>
              <w:numPr>
                <w:ilvl w:val="0"/>
                <w:numId w:val="2"/>
              </w:numPr>
              <w:spacing w:after="30"/>
            </w:pPr>
            <w:r>
              <w:rPr>
                <w:rFonts w:ascii="Calibri" w:cs="Calibri" w:eastAsia="Calibri" w:hAnsi="Calibri"/>
                <w:sz w:val="20"/>
                <w:szCs w:val="20"/>
              </w:rPr>
              <w:t xml:space="preserve">Full-Lifecycle Ownership: New Business → Onboarding → Adoption → Renewal → Expansion</w:t>
            </w:r>
          </w:p>
          <w:p>
            <w:pPr>
              <w:pStyle w:val="ListParagraph"/>
              <w:numPr>
                <w:ilvl w:val="0"/>
                <w:numId w:val="2"/>
              </w:numPr>
              <w:spacing w:after="30"/>
            </w:pPr>
            <w:r>
              <w:rPr>
                <w:rFonts w:ascii="Calibri" w:cs="Calibri" w:eastAsia="Calibri" w:hAnsi="Calibri"/>
                <w:sz w:val="20"/>
                <w:szCs w:val="20"/>
              </w:rPr>
              <w:t xml:space="preserve">C-Suite &amp; Multi-Level Stakeholder Engagement</w:t>
            </w:r>
          </w:p>
          <w:p>
            <w:pPr>
              <w:pStyle w:val="ListParagraph"/>
              <w:numPr>
                <w:ilvl w:val="0"/>
                <w:numId w:val="2"/>
              </w:numPr>
              <w:spacing w:after="30"/>
            </w:pPr>
            <w:r>
              <w:rPr>
                <w:rFonts w:ascii="Calibri" w:cs="Calibri" w:eastAsia="Calibri" w:hAnsi="Calibri"/>
                <w:sz w:val="20"/>
                <w:szCs w:val="20"/>
              </w:rPr>
              <w:t xml:space="preserve">Consumption- &amp; Seat-Based SaaS Models</w:t>
            </w:r>
          </w:p>
          <w:p>
            <w:pPr>
              <w:pStyle w:val="ListParagraph"/>
              <w:numPr>
                <w:ilvl w:val="0"/>
                <w:numId w:val="2"/>
              </w:numPr>
              <w:spacing w:after="30"/>
            </w:pPr>
            <w:r>
              <w:rPr>
                <w:rFonts w:ascii="Calibri" w:cs="Calibri" w:eastAsia="Calibri" w:hAnsi="Calibri"/>
                <w:sz w:val="20"/>
                <w:szCs w:val="20"/>
              </w:rPr>
              <w:t xml:space="preserve">Executive Business Reviews &amp; Success Planning</w:t>
            </w:r>
          </w:p>
          <w:p>
            <w:pPr>
              <w:pStyle w:val="ListParagraph"/>
              <w:numPr>
                <w:ilvl w:val="0"/>
                <w:numId w:val="2"/>
              </w:numPr>
              <w:spacing w:after="30"/>
            </w:pPr>
            <w:r>
              <w:rPr>
                <w:rFonts w:ascii="Calibri" w:cs="Calibri" w:eastAsia="Calibri" w:hAnsi="Calibri"/>
                <w:sz w:val="20"/>
                <w:szCs w:val="20"/>
              </w:rPr>
              <w:t xml:space="preserve">Usage Monitoring, Health Scoring &amp; Churn Forecasting</w:t>
            </w:r>
          </w:p>
        </w:tc>
        <w:tc>
          <w:tcPr>
            <w:tcW w:type="dxa" w:w="5233"/>
            <w:tcBorders>
              <w:top w:val="none" w:color="FFFFFF" w:sz="0"/>
              <w:left w:val="none" w:color="FFFFFF" w:sz="0"/>
              <w:bottom w:val="none" w:color="FFFFFF" w:sz="0"/>
              <w:right w:val="none" w:color="FFFFFF" w:sz="0"/>
            </w:tcBorders>
            <w:tcMar>
              <w:top w:type="dxa" w:w="20"/>
              <w:left w:type="dxa" w:w="0"/>
              <w:bottom w:type="dxa" w:w="20"/>
              <w:right w:type="dxa" w:w="120"/>
            </w:tcMar>
          </w:tcPr>
          <w:p>
            <w:pPr>
              <w:pStyle w:val="ListParagraph"/>
              <w:numPr>
                <w:ilvl w:val="0"/>
                <w:numId w:val="2"/>
              </w:numPr>
              <w:spacing w:after="30"/>
            </w:pPr>
            <w:r>
              <w:rPr>
                <w:rFonts w:ascii="Calibri" w:cs="Calibri" w:eastAsia="Calibri" w:hAnsi="Calibri"/>
                <w:sz w:val="20"/>
                <w:szCs w:val="20"/>
              </w:rPr>
              <w:t xml:space="preserve">CS Function Design &amp; Foundational / In-Region Build</w:t>
            </w:r>
          </w:p>
          <w:p>
            <w:pPr>
              <w:pStyle w:val="ListParagraph"/>
              <w:numPr>
                <w:ilvl w:val="0"/>
                <w:numId w:val="2"/>
              </w:numPr>
              <w:spacing w:after="30"/>
            </w:pPr>
            <w:r>
              <w:rPr>
                <w:rFonts w:ascii="Calibri" w:cs="Calibri" w:eastAsia="Calibri" w:hAnsi="Calibri"/>
                <w:sz w:val="20"/>
                <w:szCs w:val="20"/>
              </w:rPr>
              <w:t xml:space="preserve">Change Management &amp; Organisational Enablement</w:t>
            </w:r>
          </w:p>
          <w:p>
            <w:pPr>
              <w:pStyle w:val="ListParagraph"/>
              <w:numPr>
                <w:ilvl w:val="0"/>
                <w:numId w:val="2"/>
              </w:numPr>
              <w:spacing w:after="30"/>
            </w:pPr>
            <w:r>
              <w:rPr>
                <w:rFonts w:ascii="Calibri" w:cs="Calibri" w:eastAsia="Calibri" w:hAnsi="Calibri"/>
                <w:sz w:val="20"/>
                <w:szCs w:val="20"/>
              </w:rPr>
              <w:t xml:space="preserve">Adoption Roadmaps &amp; Value Realisation (ROI)</w:t>
            </w:r>
          </w:p>
          <w:p>
            <w:pPr>
              <w:pStyle w:val="ListParagraph"/>
              <w:numPr>
                <w:ilvl w:val="0"/>
                <w:numId w:val="2"/>
              </w:numPr>
              <w:spacing w:after="30"/>
            </w:pPr>
            <w:r>
              <w:rPr>
                <w:rFonts w:ascii="Calibri" w:cs="Calibri" w:eastAsia="Calibri" w:hAnsi="Calibri"/>
                <w:sz w:val="20"/>
                <w:szCs w:val="20"/>
              </w:rPr>
              <w:t xml:space="preserve">Scalable Playbooks &amp; Process Documentation</w:t>
            </w:r>
          </w:p>
          <w:p>
            <w:pPr>
              <w:pStyle w:val="ListParagraph"/>
              <w:numPr>
                <w:ilvl w:val="0"/>
                <w:numId w:val="2"/>
              </w:numPr>
              <w:spacing w:after="30"/>
            </w:pPr>
            <w:r>
              <w:rPr>
                <w:rFonts w:ascii="Calibri" w:cs="Calibri" w:eastAsia="Calibri" w:hAnsi="Calibri"/>
                <w:sz w:val="20"/>
                <w:szCs w:val="20"/>
              </w:rPr>
              <w:t xml:space="preserve">Cross-Functional Collaboration &amp; Voice of Customer</w:t>
            </w:r>
          </w:p>
        </w:tc>
      </w:tr>
    </w:tbl>
    <w:p>
      <w:pPr>
        <w:pBdr>
          <w:bottom w:val="single" w:color="1F3557" w:sz="6"/>
        </w:pBdr>
        <w:spacing w:after="90" w:before="220"/>
      </w:pPr>
      <w:r>
        <w:rPr>
          <w:rFonts w:ascii="Calibri" w:cs="Calibri" w:eastAsia="Calibri" w:hAnsi="Calibri"/>
          <w:b/>
          <w:bCs/>
          <w:caps/>
          <w:color w:val="1F3557"/>
          <w:spacing w:val="20"/>
          <w:sz w:val="22"/>
          <w:szCs w:val="22"/>
        </w:rPr>
        <w:t xml:space="preserve">Education &amp; Languages</w:t>
      </w:r>
    </w:p>
    <w:p>
      <w:pPr>
        <w:tabs>
          <w:tab w:val="right" w:pos="10466"/>
        </w:tabs>
        <w:spacing w:after="40"/>
      </w:pPr>
      <w:r>
        <w:rPr>
          <w:rFonts w:ascii="Calibri" w:cs="Calibri" w:eastAsia="Calibri" w:hAnsi="Calibri"/>
          <w:b/>
          <w:bCs/>
          <w:sz w:val="21"/>
          <w:szCs w:val="21"/>
        </w:rPr>
        <w:t xml:space="preserve">MBA — London School of Economics</w:t>
      </w:r>
      <w:r>
        <w:rPr>
          <w:rFonts w:ascii="Calibri" w:cs="Calibri" w:eastAsia="Calibri" w:hAnsi="Calibri"/>
          <w:b/>
          <w:bCs/>
          <w:color w:val="1F3557"/>
          <w:sz w:val="20"/>
          <w:szCs w:val="20"/>
        </w:rPr>
        <w:t xml:space="preserve">	2017 – 2018</w:t>
      </w:r>
    </w:p>
    <w:p>
      <w:pPr>
        <w:tabs>
          <w:tab w:val="right" w:pos="10466"/>
        </w:tabs>
        <w:spacing w:after="80"/>
      </w:pPr>
      <w:r>
        <w:rPr>
          <w:rFonts w:ascii="Calibri" w:cs="Calibri" w:eastAsia="Calibri" w:hAnsi="Calibri"/>
          <w:b/>
          <w:bCs/>
          <w:sz w:val="21"/>
          <w:szCs w:val="21"/>
        </w:rPr>
        <w:t xml:space="preserve">BA Advertising &amp; PR — ESIC Business &amp; Marketing School</w:t>
      </w:r>
      <w:r>
        <w:rPr>
          <w:rFonts w:ascii="Calibri" w:cs="Calibri" w:eastAsia="Calibri" w:hAnsi="Calibri"/>
          <w:b/>
          <w:bCs/>
          <w:color w:val="1F3557"/>
          <w:sz w:val="20"/>
          <w:szCs w:val="20"/>
        </w:rPr>
        <w:t xml:space="preserve">	2004 – 2009</w:t>
      </w:r>
    </w:p>
    <w:p>
      <w:pPr>
        <w:spacing w:after="40"/>
      </w:pPr>
      <w:r>
        <w:rPr>
          <w:rFonts w:ascii="Calibri" w:cs="Calibri" w:eastAsia="Calibri" w:hAnsi="Calibri"/>
          <w:b/>
          <w:bCs/>
          <w:sz w:val="21"/>
          <w:szCs w:val="21"/>
        </w:rPr>
        <w:t xml:space="preserve">Languages:  </w:t>
      </w:r>
      <w:r>
        <w:rPr>
          <w:rFonts w:ascii="Calibri" w:cs="Calibri" w:eastAsia="Calibri" w:hAnsi="Calibri"/>
          <w:sz w:val="21"/>
          <w:szCs w:val="21"/>
        </w:rPr>
        <w:t xml:space="preserve">English (Native)  ·  Spanish (Native / Bilingual)  ·  Portuguese (Intermediate)  ·  French (Basic)</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C15F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2026-08-20T09:41:56.992Z</dcterms:created>
  <dcterms:modified xsi:type="dcterms:W3CDTF">2026-08-20T09:41:56.992Z</dcterms:modified>
</cp:coreProperties>
</file>

<file path=docProps/custom.xml><?xml version="1.0" encoding="utf-8"?>
<Properties xmlns="http://schemas.openxmlformats.org/officeDocument/2006/custom-properties" xmlns:vt="http://schemas.openxmlformats.org/officeDocument/2006/docPropsVTypes"/>
</file>