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4"/>
          <w:szCs w:val="34"/>
          <w:rFonts w:ascii="Calibri" w:cs="Calibri" w:eastAsia="Calibri" w:hAnsi="Calibri"/>
        </w:rPr>
        <w:t xml:space="preserve">ALEX COBOS</w:t>
      </w:r>
    </w:p>
    <w:p>
      <w:pPr>
        <w:spacing w:after="40"/>
      </w:pPr>
      <w:r>
        <w:rPr>
          <w:b/>
          <w:bCs/>
          <w:color w:val="333333"/>
          <w:sz w:val="23"/>
          <w:szCs w:val="23"/>
          <w:rFonts w:ascii="Calibri" w:cs="Calibri" w:eastAsia="Calibri" w:hAnsi="Calibri"/>
        </w:rPr>
        <w:t xml:space="preserve">Senior Customer Success Manager | Strategic Accounts EMEA | Remote</w:t>
      </w:r>
    </w:p>
    <w:p>
      <w:pPr>
        <w:spacing w:after="80"/>
      </w:pPr>
      <w:r>
        <w:rPr>
          <w:color w:val="444444"/>
          <w:sz w:val="20"/>
          <w:szCs w:val="20"/>
          <w:rFonts w:ascii="Calibri" w:cs="Calibri" w:eastAsia="Calibri" w:hAnsi="Calibri"/>
        </w:rPr>
        <w:t xml:space="preserve">Madrid, Spain | alex.lopcob@gmail.com | +34 690 660 128 | linkedin.com/in/alex-cobos-50599618</w:t>
      </w:r>
    </w:p>
    <w:p>
      <w:pPr>
        <w:spacing w:after="80"/>
      </w:pPr>
      <w:r>
        <w:rPr>
          <w:color w:val="444444"/>
          <w:sz w:val="20"/>
          <w:szCs w:val="20"/>
          <w:rFonts w:ascii="Calibri" w:cs="Calibri" w:eastAsia="Calibri" w:hAnsi="Calibri"/>
        </w:rPr>
        <w:t xml:space="preserve">Remote across EMEA (CET) | Right to work in the EU and UK, no sponsorship required | Available immediately</w:t>
      </w:r>
    </w:p>
    <w:p>
      <w:pPr>
        <w:pBdr>
          <w:bottom w:val="single" w:color="444444" w:sz="6" w:space="1"/>
        </w:pBdr>
        <w:spacing w:before="220" w:after="60"/>
      </w:pPr>
      <w:r>
        <w:rPr>
          <w:b/>
          <w:bCs/>
          <w:color w:val="222222"/>
          <w:sz w:val="23"/>
          <w:szCs w:val="23"/>
          <w:rFonts w:ascii="Calibri" w:cs="Calibri" w:eastAsia="Calibri" w:hAnsi="Calibri"/>
        </w:rPr>
        <w:t xml:space="preserve">PROFESSIONAL SUMMARY</w:t>
      </w:r>
    </w:p>
    <w:p>
      <w:pPr>
        <w:spacing w:after="80"/>
      </w:pPr>
      <w:r>
        <w:rPr>
          <w:sz w:val="21"/>
          <w:szCs w:val="21"/>
          <w:rFonts w:ascii="Calibri" w:cs="Calibri" w:eastAsia="Calibri" w:hAnsi="Calibri"/>
        </w:rPr>
        <w:t xml:space="preserve">Senior Customer Success and Strategic Account leader with 15+ years in enterprise B2B, 8+ in SaaS. Owned a $11M+ ARR portfolio of 25+ strategic accounts at Coursera (Volkswagen Group, Novartis, HSBC, BBVA) with 90%+ renewal rates and 125% net revenue retention. Builds customer success functions, health scoring and renewal-risk systems from scratch, and now applies AI tooling to renewal forecasting. Bilingual Spanish and English, MBA from the London School of Economics, based in Madrid and experienced running distributed EMEA and LATAM portfolios remotely.</w:t>
      </w:r>
    </w:p>
    <w:p>
      <w:pPr>
        <w:pBdr>
          <w:bottom w:val="single" w:color="444444" w:sz="6" w:space="1"/>
        </w:pBdr>
        <w:spacing w:before="220" w:after="60"/>
      </w:pPr>
      <w:r>
        <w:rPr>
          <w:b/>
          <w:bCs/>
          <w:color w:val="222222"/>
          <w:sz w:val="23"/>
          <w:szCs w:val="23"/>
          <w:rFonts w:ascii="Calibri" w:cs="Calibri" w:eastAsia="Calibri" w:hAnsi="Calibri"/>
        </w:rPr>
        <w:t xml:space="preserve">CORE COMPETENCIES</w:t>
      </w:r>
    </w:p>
    <w:p>
      <w:pPr>
        <w:pStyle w:val="ListParagraph"/>
        <w:numPr>
          <w:ilvl w:val="0"/>
          <w:numId w:val="2"/>
        </w:numPr>
        <w:spacing w:after="40"/>
      </w:pPr>
      <w:r>
        <w:rPr>
          <w:sz w:val="21"/>
          <w:szCs w:val="21"/>
          <w:rFonts w:ascii="Calibri" w:cs="Calibri" w:eastAsia="Calibri" w:hAnsi="Calibri"/>
        </w:rPr>
        <w:t xml:space="preserve">Enterprise Customer Success and Strategic Account Management ($10M+ ARR portfolios)</w:t>
      </w:r>
    </w:p>
    <w:p>
      <w:pPr>
        <w:pStyle w:val="ListParagraph"/>
        <w:numPr>
          <w:ilvl w:val="0"/>
          <w:numId w:val="2"/>
        </w:numPr>
        <w:spacing w:after="40"/>
      </w:pPr>
      <w:r>
        <w:rPr>
          <w:sz w:val="21"/>
          <w:szCs w:val="21"/>
          <w:rFonts w:ascii="Calibri" w:cs="Calibri" w:eastAsia="Calibri" w:hAnsi="Calibri"/>
        </w:rPr>
        <w:t xml:space="preserve">Renewals, Net Revenue Retention and Expansion Strategy</w:t>
      </w:r>
    </w:p>
    <w:p>
      <w:pPr>
        <w:pStyle w:val="ListParagraph"/>
        <w:numPr>
          <w:ilvl w:val="0"/>
          <w:numId w:val="2"/>
        </w:numPr>
        <w:spacing w:after="40"/>
      </w:pPr>
      <w:r>
        <w:rPr>
          <w:sz w:val="21"/>
          <w:szCs w:val="21"/>
          <w:rFonts w:ascii="Calibri" w:cs="Calibri" w:eastAsia="Calibri" w:hAnsi="Calibri"/>
        </w:rPr>
        <w:t xml:space="preserve">Executive Business Reviews and C-Suite Stakeholder Management</w:t>
      </w:r>
    </w:p>
    <w:p>
      <w:pPr>
        <w:pStyle w:val="ListParagraph"/>
        <w:numPr>
          <w:ilvl w:val="0"/>
          <w:numId w:val="2"/>
        </w:numPr>
        <w:spacing w:after="40"/>
      </w:pPr>
      <w:r>
        <w:rPr>
          <w:sz w:val="21"/>
          <w:szCs w:val="21"/>
          <w:rFonts w:ascii="Calibri" w:cs="Calibri" w:eastAsia="Calibri" w:hAnsi="Calibri"/>
        </w:rPr>
        <w:t xml:space="preserve">Customer Health Scoring, Churn Forecasting and Risk Mitigation</w:t>
      </w:r>
    </w:p>
    <w:p>
      <w:pPr>
        <w:pStyle w:val="ListParagraph"/>
        <w:numPr>
          <w:ilvl w:val="0"/>
          <w:numId w:val="2"/>
        </w:numPr>
        <w:spacing w:after="40"/>
      </w:pPr>
      <w:r>
        <w:rPr>
          <w:sz w:val="21"/>
          <w:szCs w:val="21"/>
          <w:rFonts w:ascii="Calibri" w:cs="Calibri" w:eastAsia="Calibri" w:hAnsi="Calibri"/>
        </w:rPr>
        <w:t xml:space="preserve">Adoption Roadmaps, Change Management and Value Realisation</w:t>
      </w:r>
    </w:p>
    <w:p>
      <w:pPr>
        <w:pStyle w:val="ListParagraph"/>
        <w:numPr>
          <w:ilvl w:val="0"/>
          <w:numId w:val="2"/>
        </w:numPr>
        <w:spacing w:after="40"/>
      </w:pPr>
      <w:r>
        <w:rPr>
          <w:sz w:val="21"/>
          <w:szCs w:val="21"/>
          <w:rFonts w:ascii="Calibri" w:cs="Calibri" w:eastAsia="Calibri" w:hAnsi="Calibri"/>
        </w:rPr>
        <w:t xml:space="preserve">CS Programme Design, Playbooks and Process Documentation</w:t>
      </w:r>
    </w:p>
    <w:p>
      <w:pPr>
        <w:pStyle w:val="ListParagraph"/>
        <w:numPr>
          <w:ilvl w:val="0"/>
          <w:numId w:val="2"/>
        </w:numPr>
        <w:spacing w:after="40"/>
      </w:pPr>
      <w:r>
        <w:rPr>
          <w:sz w:val="21"/>
          <w:szCs w:val="21"/>
          <w:rFonts w:ascii="Calibri" w:cs="Calibri" w:eastAsia="Calibri" w:hAnsi="Calibri"/>
        </w:rPr>
        <w:t xml:space="preserve">Cross-Functional Leadership with Sales, Product and Support</w:t>
      </w:r>
    </w:p>
    <w:p>
      <w:pPr>
        <w:pStyle w:val="ListParagraph"/>
        <w:numPr>
          <w:ilvl w:val="0"/>
          <w:numId w:val="2"/>
        </w:numPr>
        <w:spacing w:after="40"/>
      </w:pPr>
      <w:r>
        <w:rPr>
          <w:sz w:val="21"/>
          <w:szCs w:val="21"/>
          <w:rFonts w:ascii="Calibri" w:cs="Calibri" w:eastAsia="Calibri" w:hAnsi="Calibri"/>
        </w:rPr>
        <w:t xml:space="preserve">Team Mentoring, Enablement and Hiring Support</w:t>
      </w:r>
    </w:p>
    <w:p>
      <w:pPr>
        <w:pStyle w:val="ListParagraph"/>
        <w:numPr>
          <w:ilvl w:val="0"/>
          <w:numId w:val="2"/>
        </w:numPr>
        <w:spacing w:after="40"/>
      </w:pPr>
      <w:r>
        <w:rPr>
          <w:sz w:val="21"/>
          <w:szCs w:val="21"/>
          <w:rFonts w:ascii="Calibri" w:cs="Calibri" w:eastAsia="Calibri" w:hAnsi="Calibri"/>
        </w:rPr>
        <w:t xml:space="preserve">Gainsight, Salesforce, HubSpot, Tableau, Power BI, Looker</w:t>
      </w:r>
    </w:p>
    <w:p>
      <w:pPr>
        <w:pStyle w:val="ListParagraph"/>
        <w:numPr>
          <w:ilvl w:val="0"/>
          <w:numId w:val="2"/>
        </w:numPr>
        <w:spacing w:after="40"/>
      </w:pPr>
      <w:r>
        <w:rPr>
          <w:sz w:val="21"/>
          <w:szCs w:val="21"/>
          <w:rFonts w:ascii="Calibri" w:cs="Calibri" w:eastAsia="Calibri" w:hAnsi="Calibri"/>
        </w:rPr>
        <w:t xml:space="preserve">AI-assisted CS Workflows (Claude, Make) for Health Scoring and Renewal Forecasting</w:t>
      </w:r>
    </w:p>
    <w:p>
      <w:pPr>
        <w:pBdr>
          <w:bottom w:val="single" w:color="444444" w:sz="6" w:space="1"/>
        </w:pBdr>
        <w:spacing w:before="220" w:after="60"/>
      </w:pPr>
      <w:r>
        <w:rPr>
          <w:b/>
          <w:bCs/>
          <w:color w:val="222222"/>
          <w:sz w:val="23"/>
          <w:szCs w:val="23"/>
          <w:rFonts w:ascii="Calibri" w:cs="Calibri" w:eastAsia="Calibri" w:hAnsi="Calibri"/>
        </w:rPr>
        <w:t xml:space="preserve">PROFESSIONAL EXPERIENCE</w:t>
      </w:r>
    </w:p>
    <w:p>
      <w:pPr>
        <w:tabs>
          <w:tab w:val="right" w:pos="9026"/>
        </w:tabs>
        <w:spacing w:before="120" w:after="0"/>
      </w:pPr>
      <w:r>
        <w:rPr>
          <w:b/>
          <w:bCs/>
          <w:sz w:val="21"/>
          <w:szCs w:val="21"/>
          <w:rFonts w:ascii="Calibri" w:cs="Calibri" w:eastAsia="Calibri" w:hAnsi="Calibri"/>
        </w:rPr>
        <w:t xml:space="preserve">Independent Customer Success Consultant (fractional)</w:t>
      </w:r>
      <w:r>
        <w:rPr>
          <w:b/>
          <w:bCs/>
          <w:sz w:val="21"/>
          <w:szCs w:val="21"/>
          <w:rFonts w:ascii="Calibri" w:cs="Calibri" w:eastAsia="Calibri" w:hAnsi="Calibri"/>
        </w:rPr>
        <w:t xml:space="preserve">	Jan 2026 – Present</w:t>
      </w:r>
    </w:p>
    <w:p>
      <w:pPr>
        <w:spacing w:after="40"/>
      </w:pPr>
      <w:r>
        <w:rPr>
          <w:i/>
          <w:iCs/>
          <w:sz w:val="21"/>
          <w:szCs w:val="21"/>
          <w:rFonts w:ascii="Calibri" w:cs="Calibri" w:eastAsia="Calibri" w:hAnsi="Calibri"/>
        </w:rPr>
        <w:t xml:space="preserve">Fractional Customer Success Lead</w:t>
      </w:r>
      <w:r>
        <w:rPr>
          <w:color w:val="555555"/>
          <w:sz w:val="21"/>
          <w:szCs w:val="21"/>
          <w:rFonts w:ascii="Calibri" w:cs="Calibri" w:eastAsia="Calibri" w:hAnsi="Calibri"/>
        </w:rPr>
        <w:t xml:space="preserve"> | Madrid, remote</w:t>
      </w:r>
    </w:p>
    <w:p>
      <w:pPr>
        <w:pStyle w:val="ListParagraph"/>
        <w:numPr>
          <w:ilvl w:val="0"/>
          <w:numId w:val="2"/>
        </w:numPr>
        <w:spacing w:after="40"/>
      </w:pPr>
      <w:r>
        <w:rPr>
          <w:sz w:val="21"/>
          <w:szCs w:val="21"/>
          <w:rFonts w:ascii="Calibri" w:cs="Calibri" w:eastAsia="Calibri" w:hAnsi="Calibri"/>
        </w:rPr>
        <w:t xml:space="preserve">Fractional and interim customer success engagements for B2B SaaS companies: renewal-risk reviews, health-score models, executive business review programmes and expansion planning.</w:t>
      </w:r>
    </w:p>
    <w:p>
      <w:pPr>
        <w:pStyle w:val="ListParagraph"/>
        <w:numPr>
          <w:ilvl w:val="0"/>
          <w:numId w:val="2"/>
        </w:numPr>
        <w:spacing w:after="40"/>
      </w:pPr>
      <w:r>
        <w:rPr>
          <w:sz w:val="21"/>
          <w:szCs w:val="21"/>
          <w:rFonts w:ascii="Calibri" w:cs="Calibri" w:eastAsia="Calibri" w:hAnsi="Calibri"/>
        </w:rPr>
        <w:t xml:space="preserve">Designed onboarding and success playbooks that give founders and CS teams a repeatable path from signature to renewal.</w:t>
      </w:r>
    </w:p>
    <w:p>
      <w:pPr>
        <w:pStyle w:val="ListParagraph"/>
        <w:numPr>
          <w:ilvl w:val="0"/>
          <w:numId w:val="2"/>
        </w:numPr>
        <w:spacing w:after="40"/>
      </w:pPr>
      <w:r>
        <w:rPr>
          <w:sz w:val="21"/>
          <w:szCs w:val="21"/>
          <w:rFonts w:ascii="Calibri" w:cs="Calibri" w:eastAsia="Calibri" w:hAnsi="Calibri"/>
        </w:rPr>
        <w:t xml:space="preserve">Built AI-assisted renewal forecasting and account-health tooling that turns usage and support data into weekly risk calls.</w:t>
      </w:r>
    </w:p>
    <w:p>
      <w:pPr>
        <w:tabs>
          <w:tab w:val="right" w:pos="9026"/>
        </w:tabs>
        <w:spacing w:before="120" w:after="0"/>
      </w:pPr>
      <w:r>
        <w:rPr>
          <w:b/>
          <w:bCs/>
          <w:sz w:val="21"/>
          <w:szCs w:val="21"/>
          <w:rFonts w:ascii="Calibri" w:cs="Calibri" w:eastAsia="Calibri" w:hAnsi="Calibri"/>
        </w:rPr>
        <w:t xml:space="preserve">Pressure Calibration</w:t>
      </w:r>
      <w:r>
        <w:rPr>
          <w:b/>
          <w:bCs/>
          <w:sz w:val="21"/>
          <w:szCs w:val="21"/>
          <w:rFonts w:ascii="Calibri" w:cs="Calibri" w:eastAsia="Calibri" w:hAnsi="Calibri"/>
        </w:rPr>
        <w:t xml:space="preserve">	Feb 2025 – Present</w:t>
      </w:r>
    </w:p>
    <w:p>
      <w:pPr>
        <w:spacing w:after="40"/>
      </w:pPr>
      <w:r>
        <w:rPr>
          <w:i/>
          <w:iCs/>
          <w:sz w:val="21"/>
          <w:szCs w:val="21"/>
          <w:rFonts w:ascii="Calibri" w:cs="Calibri" w:eastAsia="Calibri" w:hAnsi="Calibri"/>
        </w:rPr>
        <w:t xml:space="preserve">Co-Founder and Commercial Lead</w:t>
      </w:r>
      <w:r>
        <w:rPr>
          <w:color w:val="555555"/>
          <w:sz w:val="21"/>
          <w:szCs w:val="21"/>
          <w:rFonts w:ascii="Calibri" w:cs="Calibri" w:eastAsia="Calibri" w:hAnsi="Calibri"/>
        </w:rPr>
        <w:t xml:space="preserve"> | Madrid</w:t>
      </w:r>
    </w:p>
    <w:p>
      <w:pPr>
        <w:pStyle w:val="ListParagraph"/>
        <w:numPr>
          <w:ilvl w:val="0"/>
          <w:numId w:val="2"/>
        </w:numPr>
        <w:spacing w:after="40"/>
      </w:pPr>
      <w:r>
        <w:rPr>
          <w:sz w:val="21"/>
          <w:szCs w:val="21"/>
          <w:rFonts w:ascii="Calibri" w:cs="Calibri" w:eastAsia="Calibri" w:hAnsi="Calibri"/>
        </w:rPr>
        <w:t xml:space="preserve">Co-founded a performance and wellbeing company helping commercial leaders and teams perform under pressure; built go-to-market, customer success framework and onboarding from zero.</w:t>
      </w:r>
    </w:p>
    <w:p>
      <w:pPr>
        <w:pStyle w:val="ListParagraph"/>
        <w:numPr>
          <w:ilvl w:val="0"/>
          <w:numId w:val="2"/>
        </w:numPr>
        <w:spacing w:after="40"/>
      </w:pPr>
      <w:r>
        <w:rPr>
          <w:sz w:val="21"/>
          <w:szCs w:val="21"/>
          <w:rFonts w:ascii="Calibri" w:cs="Calibri" w:eastAsia="Calibri" w:hAnsi="Calibri"/>
        </w:rPr>
        <w:t xml:space="preserve">Opened early enterprise pipeline through direct engagement with CROs and VP Sales; runs cohort programmes in Madrid and the Nervous System Summit in Tallinn.</w:t>
      </w:r>
    </w:p>
    <w:p>
      <w:pPr>
        <w:tabs>
          <w:tab w:val="right" w:pos="9026"/>
        </w:tabs>
        <w:spacing w:before="120" w:after="0"/>
      </w:pPr>
      <w:r>
        <w:rPr>
          <w:b/>
          <w:bCs/>
          <w:sz w:val="21"/>
          <w:szCs w:val="21"/>
          <w:rFonts w:ascii="Calibri" w:cs="Calibri" w:eastAsia="Calibri" w:hAnsi="Calibri"/>
        </w:rPr>
        <w:t xml:space="preserve">Coursera</w:t>
      </w:r>
      <w:r>
        <w:rPr>
          <w:b/>
          <w:bCs/>
          <w:sz w:val="21"/>
          <w:szCs w:val="21"/>
          <w:rFonts w:ascii="Calibri" w:cs="Calibri" w:eastAsia="Calibri" w:hAnsi="Calibri"/>
        </w:rPr>
        <w:t xml:space="preserve">	May 2021 – Feb 2025</w:t>
      </w:r>
    </w:p>
    <w:p>
      <w:pPr>
        <w:spacing w:after="40"/>
      </w:pPr>
      <w:r>
        <w:rPr>
          <w:i/>
          <w:iCs/>
          <w:sz w:val="21"/>
          <w:szCs w:val="21"/>
          <w:rFonts w:ascii="Calibri" w:cs="Calibri" w:eastAsia="Calibri" w:hAnsi="Calibri"/>
        </w:rPr>
        <w:t xml:space="preserve">Senior Customer Success Manager, Strategic Accounts</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Owned $11M+ ARR across 25+ strategic enterprise accounts including Volkswagen Group, Novartis, HSBC and BBVA; primary advisor to C-suite and VP stakeholders on adoption and transformation goals.</w:t>
      </w:r>
    </w:p>
    <w:p>
      <w:pPr>
        <w:pStyle w:val="ListParagraph"/>
        <w:numPr>
          <w:ilvl w:val="0"/>
          <w:numId w:val="2"/>
        </w:numPr>
        <w:spacing w:after="40"/>
      </w:pPr>
      <w:r>
        <w:rPr>
          <w:sz w:val="21"/>
          <w:szCs w:val="21"/>
          <w:rFonts w:ascii="Calibri" w:cs="Calibri" w:eastAsia="Calibri" w:hAnsi="Calibri"/>
        </w:rPr>
        <w:t xml:space="preserve">Delivered 90%+ renewal rates and 125% net revenue retention through proactive risk mitigation, multi-quarter success planning and rigorous outcome tracking; prevented several six-figure churn events.</w:t>
      </w:r>
    </w:p>
    <w:p>
      <w:pPr>
        <w:pStyle w:val="ListParagraph"/>
        <w:numPr>
          <w:ilvl w:val="0"/>
          <w:numId w:val="2"/>
        </w:numPr>
        <w:spacing w:after="40"/>
      </w:pPr>
      <w:r>
        <w:rPr>
          <w:sz w:val="21"/>
          <w:szCs w:val="21"/>
          <w:rFonts w:ascii="Calibri" w:cs="Calibri" w:eastAsia="Calibri" w:hAnsi="Calibri"/>
        </w:rPr>
        <w:t xml:space="preserve">Led executive business reviews with Fortune 500 stakeholders and built mutual success plans that produced hundreds of thousands of dollars in incremental ARR.</w:t>
      </w:r>
    </w:p>
    <w:p>
      <w:pPr>
        <w:pStyle w:val="ListParagraph"/>
        <w:numPr>
          <w:ilvl w:val="0"/>
          <w:numId w:val="2"/>
        </w:numPr>
        <w:spacing w:after="40"/>
      </w:pPr>
      <w:r>
        <w:rPr>
          <w:sz w:val="21"/>
          <w:szCs w:val="21"/>
          <w:rFonts w:ascii="Calibri" w:cs="Calibri" w:eastAsia="Calibri" w:hAnsi="Calibri"/>
        </w:rPr>
        <w:t xml:space="preserve">Designed adoption roadmaps and change-management programmes for complex, multi-country deployments, reducing time to value and lifting engagement.</w:t>
      </w:r>
    </w:p>
    <w:p>
      <w:pPr>
        <w:pStyle w:val="ListParagraph"/>
        <w:numPr>
          <w:ilvl w:val="0"/>
          <w:numId w:val="2"/>
        </w:numPr>
        <w:spacing w:after="40"/>
      </w:pPr>
      <w:r>
        <w:rPr>
          <w:sz w:val="21"/>
          <w:szCs w:val="21"/>
          <w:rFonts w:ascii="Calibri" w:cs="Calibri" w:eastAsia="Calibri" w:hAnsi="Calibri"/>
        </w:rPr>
        <w:t xml:space="preserve">Used Gainsight, Tableau and Power BI to surface adoption gaps and expansion signals; the resulting playbooks were adopted team-wide.</w:t>
      </w:r>
    </w:p>
    <w:p>
      <w:pPr>
        <w:pStyle w:val="ListParagraph"/>
        <w:numPr>
          <w:ilvl w:val="0"/>
          <w:numId w:val="2"/>
        </w:numPr>
        <w:spacing w:after="40"/>
      </w:pPr>
      <w:r>
        <w:rPr>
          <w:sz w:val="21"/>
          <w:szCs w:val="21"/>
          <w:rFonts w:ascii="Calibri" w:cs="Calibri" w:eastAsia="Calibri" w:hAnsi="Calibri"/>
        </w:rPr>
        <w:t xml:space="preserve">Mentored customer success managers, wrote process documentation and supported hiring and onboarding; acted as voice of customer into the product roadmap.</w:t>
      </w:r>
    </w:p>
    <w:p>
      <w:pPr>
        <w:tabs>
          <w:tab w:val="right" w:pos="9026"/>
        </w:tabs>
        <w:spacing w:before="120" w:after="0"/>
      </w:pPr>
      <w:r>
        <w:rPr>
          <w:b/>
          <w:bCs/>
          <w:sz w:val="21"/>
          <w:szCs w:val="21"/>
          <w:rFonts w:ascii="Calibri" w:cs="Calibri" w:eastAsia="Calibri" w:hAnsi="Calibri"/>
        </w:rPr>
        <w:t xml:space="preserve">Wiley / CrossKnowledge</w:t>
      </w:r>
      <w:r>
        <w:rPr>
          <w:b/>
          <w:bCs/>
          <w:sz w:val="21"/>
          <w:szCs w:val="21"/>
          <w:rFonts w:ascii="Calibri" w:cs="Calibri" w:eastAsia="Calibri" w:hAnsi="Calibri"/>
        </w:rPr>
        <w:t xml:space="preserve">	Sep 2018 – May 2021</w:t>
      </w:r>
    </w:p>
    <w:p>
      <w:pPr>
        <w:spacing w:after="40"/>
      </w:pPr>
      <w:r>
        <w:rPr>
          <w:i/>
          <w:iCs/>
          <w:sz w:val="21"/>
          <w:szCs w:val="21"/>
          <w:rFonts w:ascii="Calibri" w:cs="Calibri" w:eastAsia="Calibri" w:hAnsi="Calibri"/>
        </w:rPr>
        <w:t xml:space="preserve">Global Account Director</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Owned growth and retention of about 50 enterprise accounts (40 in the UK, 10 in Spain and Mexico) including HSBC and Barclays, sustaining 90%+ renewal rates on a multi-million-dollar digital learning SaaS book.</w:t>
      </w:r>
    </w:p>
    <w:p>
      <w:pPr>
        <w:pStyle w:val="ListParagraph"/>
        <w:numPr>
          <w:ilvl w:val="0"/>
          <w:numId w:val="2"/>
        </w:numPr>
        <w:spacing w:after="40"/>
      </w:pPr>
      <w:r>
        <w:rPr>
          <w:sz w:val="21"/>
          <w:szCs w:val="21"/>
          <w:rFonts w:ascii="Calibri" w:cs="Calibri" w:eastAsia="Calibri" w:hAnsi="Calibri"/>
        </w:rPr>
        <w:t xml:space="preserve">Designed adoption frameworks and change-management programmes serving thousands of end users across HR and L&amp;D platforms.</w:t>
      </w:r>
    </w:p>
    <w:p>
      <w:pPr>
        <w:pStyle w:val="ListParagraph"/>
        <w:numPr>
          <w:ilvl w:val="0"/>
          <w:numId w:val="2"/>
        </w:numPr>
        <w:spacing w:after="40"/>
      </w:pPr>
      <w:r>
        <w:rPr>
          <w:sz w:val="21"/>
          <w:szCs w:val="21"/>
          <w:rFonts w:ascii="Calibri" w:cs="Calibri" w:eastAsia="Calibri" w:hAnsi="Calibri"/>
        </w:rPr>
        <w:t xml:space="preserve">Built trusted-advisor relationships with C-level sponsors and coordinated Sales, Services and Support to deliver strategic account plans.</w:t>
      </w:r>
    </w:p>
    <w:p>
      <w:pPr>
        <w:tabs>
          <w:tab w:val="right" w:pos="9026"/>
        </w:tabs>
        <w:spacing w:before="120" w:after="0"/>
      </w:pPr>
      <w:r>
        <w:rPr>
          <w:b/>
          <w:bCs/>
          <w:sz w:val="21"/>
          <w:szCs w:val="21"/>
          <w:rFonts w:ascii="Calibri" w:cs="Calibri" w:eastAsia="Calibri" w:hAnsi="Calibri"/>
        </w:rPr>
        <w:t xml:space="preserve">Learning Technologies Group (Eukleia Training)</w:t>
      </w:r>
      <w:r>
        <w:rPr>
          <w:b/>
          <w:bCs/>
          <w:sz w:val="21"/>
          <w:szCs w:val="21"/>
          <w:rFonts w:ascii="Calibri" w:cs="Calibri" w:eastAsia="Calibri" w:hAnsi="Calibri"/>
        </w:rPr>
        <w:t xml:space="preserve">	Jun 2017 – Aug 2018</w:t>
      </w:r>
    </w:p>
    <w:p>
      <w:pPr>
        <w:spacing w:after="40"/>
      </w:pPr>
      <w:r>
        <w:rPr>
          <w:i/>
          <w:iCs/>
          <w:sz w:val="21"/>
          <w:szCs w:val="21"/>
          <w:rFonts w:ascii="Calibri" w:cs="Calibri" w:eastAsia="Calibri" w:hAnsi="Calibri"/>
        </w:rPr>
        <w:t xml:space="preserve">Solutions Consultant</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Grew and retained three key UK accounts and won new business; sold a £450,000 blended global compliance programme to a top-three investment bank.</w:t>
      </w:r>
    </w:p>
    <w:p>
      <w:pPr>
        <w:tabs>
          <w:tab w:val="right" w:pos="9026"/>
        </w:tabs>
        <w:spacing w:before="120" w:after="0"/>
      </w:pPr>
      <w:r>
        <w:rPr>
          <w:b/>
          <w:bCs/>
          <w:sz w:val="21"/>
          <w:szCs w:val="21"/>
          <w:rFonts w:ascii="Calibri" w:cs="Calibri" w:eastAsia="Calibri" w:hAnsi="Calibri"/>
        </w:rPr>
        <w:t xml:space="preserve">Euromoney Learning Solutions (Euromoney PLC)</w:t>
      </w:r>
      <w:r>
        <w:rPr>
          <w:b/>
          <w:bCs/>
          <w:sz w:val="21"/>
          <w:szCs w:val="21"/>
          <w:rFonts w:ascii="Calibri" w:cs="Calibri" w:eastAsia="Calibri" w:hAnsi="Calibri"/>
        </w:rPr>
        <w:t xml:space="preserve">	Jun 2015 – Jun 2017</w:t>
      </w:r>
    </w:p>
    <w:p>
      <w:pPr>
        <w:spacing w:after="40"/>
      </w:pPr>
      <w:r>
        <w:rPr>
          <w:i/>
          <w:iCs/>
          <w:sz w:val="21"/>
          <w:szCs w:val="21"/>
          <w:rFonts w:ascii="Calibri" w:cs="Calibri" w:eastAsia="Calibri" w:hAnsi="Calibri"/>
        </w:rPr>
        <w:t xml:space="preserve">Senior Client Relationship Manager</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Secured customised training contracts with banks, governments and development finance institutions across Europe, Africa and LATAM; hit target two years running (£150k, then £550k) and opened four new markets.</w:t>
      </w:r>
    </w:p>
    <w:p>
      <w:pPr>
        <w:tabs>
          <w:tab w:val="right" w:pos="9026"/>
        </w:tabs>
        <w:spacing w:before="120" w:after="0"/>
      </w:pPr>
      <w:r>
        <w:rPr>
          <w:b/>
          <w:bCs/>
          <w:sz w:val="21"/>
          <w:szCs w:val="21"/>
          <w:rFonts w:ascii="Calibri" w:cs="Calibri" w:eastAsia="Calibri" w:hAnsi="Calibri"/>
        </w:rPr>
        <w:t xml:space="preserve">Financial Times | IE Corporate Learning Alliance</w:t>
      </w:r>
      <w:r>
        <w:rPr>
          <w:b/>
          <w:bCs/>
          <w:sz w:val="21"/>
          <w:szCs w:val="21"/>
          <w:rFonts w:ascii="Calibri" w:cs="Calibri" w:eastAsia="Calibri" w:hAnsi="Calibri"/>
        </w:rPr>
        <w:t xml:space="preserve">	Mar 2014 – Jul 2015</w:t>
      </w:r>
    </w:p>
    <w:p>
      <w:pPr>
        <w:spacing w:after="40"/>
      </w:pPr>
      <w:r>
        <w:rPr>
          <w:i/>
          <w:iCs/>
          <w:sz w:val="21"/>
          <w:szCs w:val="21"/>
          <w:rFonts w:ascii="Calibri" w:cs="Calibri" w:eastAsia="Calibri" w:hAnsi="Calibri"/>
        </w:rPr>
        <w:t xml:space="preserve">Business Development and Account Management</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Consistent over-achievement against quota; launched a B2B gift-subscription initiative that signed 10 new corporate clients in its first three months.</w:t>
      </w:r>
    </w:p>
    <w:p>
      <w:pPr>
        <w:tabs>
          <w:tab w:val="right" w:pos="9026"/>
        </w:tabs>
        <w:spacing w:before="120" w:after="0"/>
      </w:pPr>
      <w:r>
        <w:rPr>
          <w:b/>
          <w:bCs/>
          <w:sz w:val="21"/>
          <w:szCs w:val="21"/>
          <w:rFonts w:ascii="Calibri" w:cs="Calibri" w:eastAsia="Calibri" w:hAnsi="Calibri"/>
        </w:rPr>
        <w:t xml:space="preserve">Euromonitor International</w:t>
      </w:r>
      <w:r>
        <w:rPr>
          <w:b/>
          <w:bCs/>
          <w:sz w:val="21"/>
          <w:szCs w:val="21"/>
          <w:rFonts w:ascii="Calibri" w:cs="Calibri" w:eastAsia="Calibri" w:hAnsi="Calibri"/>
        </w:rPr>
        <w:t xml:space="preserve">	Oct 2013 – Feb 2014</w:t>
      </w:r>
    </w:p>
    <w:p>
      <w:pPr>
        <w:spacing w:after="40"/>
      </w:pPr>
      <w:r>
        <w:rPr>
          <w:i/>
          <w:iCs/>
          <w:sz w:val="21"/>
          <w:szCs w:val="21"/>
          <w:rFonts w:ascii="Calibri" w:cs="Calibri" w:eastAsia="Calibri" w:hAnsi="Calibri"/>
        </w:rPr>
        <w:t xml:space="preserve">Key Account Manager</w:t>
      </w:r>
      <w:r>
        <w:rPr>
          <w:color w:val="555555"/>
          <w:sz w:val="21"/>
          <w:szCs w:val="21"/>
          <w:rFonts w:ascii="Calibri" w:cs="Calibri" w:eastAsia="Calibri" w:hAnsi="Calibri"/>
        </w:rPr>
        <w:t xml:space="preserve"> | London</w:t>
      </w:r>
    </w:p>
    <w:p>
      <w:pPr>
        <w:pStyle w:val="ListParagraph"/>
        <w:numPr>
          <w:ilvl w:val="0"/>
          <w:numId w:val="2"/>
        </w:numPr>
        <w:spacing w:after="40"/>
      </w:pPr>
      <w:r>
        <w:rPr>
          <w:sz w:val="21"/>
          <w:szCs w:val="21"/>
          <w:rFonts w:ascii="Calibri" w:cs="Calibri" w:eastAsia="Calibri" w:hAnsi="Calibri"/>
        </w:rPr>
        <w:t xml:space="preserve">Managed renewal negotiations and SaaS usage growth with FMCG clients, including a €1.03M renewal with the largest retail account in the book.</w:t>
      </w:r>
    </w:p>
    <w:p>
      <w:pPr>
        <w:tabs>
          <w:tab w:val="right" w:pos="9026"/>
        </w:tabs>
        <w:spacing w:before="120" w:after="0"/>
      </w:pPr>
      <w:r>
        <w:rPr>
          <w:b/>
          <w:bCs/>
          <w:sz w:val="21"/>
          <w:szCs w:val="21"/>
          <w:rFonts w:ascii="Calibri" w:cs="Calibri" w:eastAsia="Calibri" w:hAnsi="Calibri"/>
        </w:rPr>
        <w:t xml:space="preserve">Earlier roles: B2B subscription and information sales (Springer, Informa)</w:t>
      </w:r>
      <w:r>
        <w:rPr>
          <w:b/>
          <w:bCs/>
          <w:sz w:val="21"/>
          <w:szCs w:val="21"/>
          <w:rFonts w:ascii="Calibri" w:cs="Calibri" w:eastAsia="Calibri" w:hAnsi="Calibri"/>
        </w:rPr>
        <w:t xml:space="preserve">	2009 – 2013</w:t>
      </w:r>
    </w:p>
    <w:p>
      <w:pPr>
        <w:spacing w:after="40"/>
      </w:pPr>
      <w:r>
        <w:rPr>
          <w:i/>
          <w:iCs/>
          <w:sz w:val="21"/>
          <w:szCs w:val="21"/>
          <w:rFonts w:ascii="Calibri" w:cs="Calibri" w:eastAsia="Calibri" w:hAnsi="Calibri"/>
        </w:rPr>
        <w:t xml:space="preserve">Account Management and Business Development</w:t>
      </w:r>
      <w:r>
        <w:rPr>
          <w:color w:val="555555"/>
          <w:sz w:val="21"/>
          <w:szCs w:val="21"/>
          <w:rFonts w:ascii="Calibri" w:cs="Calibri" w:eastAsia="Calibri" w:hAnsi="Calibri"/>
        </w:rPr>
        <w:t xml:space="preserve"> | London and Madrid</w:t>
      </w:r>
    </w:p>
    <w:p>
      <w:pPr>
        <w:pBdr>
          <w:bottom w:val="single" w:color="444444" w:sz="6" w:space="1"/>
        </w:pBdr>
        <w:spacing w:before="220" w:after="60"/>
      </w:pPr>
      <w:r>
        <w:rPr>
          <w:b/>
          <w:bCs/>
          <w:color w:val="222222"/>
          <w:sz w:val="23"/>
          <w:szCs w:val="23"/>
          <w:rFonts w:ascii="Calibri" w:cs="Calibri" w:eastAsia="Calibri" w:hAnsi="Calibri"/>
        </w:rPr>
        <w:t xml:space="preserve">EDUCATION</w:t>
      </w:r>
    </w:p>
    <w:p>
      <w:pPr>
        <w:pStyle w:val="ListParagraph"/>
        <w:numPr>
          <w:ilvl w:val="0"/>
          <w:numId w:val="2"/>
        </w:numPr>
        <w:spacing w:after="40"/>
      </w:pPr>
      <w:r>
        <w:rPr>
          <w:sz w:val="21"/>
          <w:szCs w:val="21"/>
          <w:rFonts w:ascii="Calibri" w:cs="Calibri" w:eastAsia="Calibri" w:hAnsi="Calibri"/>
        </w:rPr>
        <w:t xml:space="preserve">MBA, London School of Economics and Political Science, 2017 – 2018</w:t>
      </w:r>
    </w:p>
    <w:p>
      <w:pPr>
        <w:pStyle w:val="ListParagraph"/>
        <w:numPr>
          <w:ilvl w:val="0"/>
          <w:numId w:val="2"/>
        </w:numPr>
        <w:spacing w:after="40"/>
      </w:pPr>
      <w:r>
        <w:rPr>
          <w:sz w:val="21"/>
          <w:szCs w:val="21"/>
          <w:rFonts w:ascii="Calibri" w:cs="Calibri" w:eastAsia="Calibri" w:hAnsi="Calibri"/>
        </w:rPr>
        <w:t xml:space="preserve">BA Advertising and Public Relations, ESIC Business and Marketing School, Madrid, 2004 – 2009</w:t>
      </w:r>
    </w:p>
    <w:p>
      <w:pPr>
        <w:pBdr>
          <w:bottom w:val="single" w:color="444444" w:sz="6" w:space="1"/>
        </w:pBdr>
        <w:spacing w:before="220" w:after="60"/>
      </w:pPr>
      <w:r>
        <w:rPr>
          <w:b/>
          <w:bCs/>
          <w:color w:val="222222"/>
          <w:sz w:val="23"/>
          <w:szCs w:val="23"/>
          <w:rFonts w:ascii="Calibri" w:cs="Calibri" w:eastAsia="Calibri" w:hAnsi="Calibri"/>
        </w:rPr>
        <w:t xml:space="preserve">CERTIFICATIONS</w:t>
      </w:r>
    </w:p>
    <w:p>
      <w:pPr>
        <w:pStyle w:val="ListParagraph"/>
        <w:numPr>
          <w:ilvl w:val="0"/>
          <w:numId w:val="2"/>
        </w:numPr>
        <w:spacing w:after="40"/>
      </w:pPr>
      <w:r>
        <w:rPr>
          <w:sz w:val="21"/>
          <w:szCs w:val="21"/>
          <w:rFonts w:ascii="Calibri" w:cs="Calibri" w:eastAsia="Calibri" w:hAnsi="Calibri"/>
        </w:rPr>
        <w:t xml:space="preserve">AI/ML Applications, Anthropic and DeepLearning.AI, 2024</w:t>
      </w:r>
    </w:p>
    <w:p>
      <w:pPr>
        <w:pStyle w:val="ListParagraph"/>
        <w:numPr>
          <w:ilvl w:val="0"/>
          <w:numId w:val="2"/>
        </w:numPr>
        <w:spacing w:after="40"/>
      </w:pPr>
      <w:r>
        <w:rPr>
          <w:sz w:val="21"/>
          <w:szCs w:val="21"/>
          <w:rFonts w:ascii="Calibri" w:cs="Calibri" w:eastAsia="Calibri" w:hAnsi="Calibri"/>
        </w:rPr>
        <w:t xml:space="preserve">Applied AI Workflows and Automation, 2024 – 2025</w:t>
      </w:r>
    </w:p>
    <w:p>
      <w:pPr>
        <w:pStyle w:val="ListParagraph"/>
        <w:numPr>
          <w:ilvl w:val="0"/>
          <w:numId w:val="2"/>
        </w:numPr>
        <w:spacing w:after="40"/>
      </w:pPr>
      <w:r>
        <w:rPr>
          <w:sz w:val="21"/>
          <w:szCs w:val="21"/>
          <w:rFonts w:ascii="Calibri" w:cs="Calibri" w:eastAsia="Calibri" w:hAnsi="Calibri"/>
        </w:rPr>
        <w:t xml:space="preserve">Machine Learning for Business Professionals, Google Cloud, 2020</w:t>
      </w:r>
    </w:p>
    <w:p>
      <w:pPr>
        <w:pStyle w:val="ListParagraph"/>
        <w:numPr>
          <w:ilvl w:val="0"/>
          <w:numId w:val="2"/>
        </w:numPr>
        <w:spacing w:after="40"/>
      </w:pPr>
      <w:r>
        <w:rPr>
          <w:sz w:val="21"/>
          <w:szCs w:val="21"/>
          <w:rFonts w:ascii="Calibri" w:cs="Calibri" w:eastAsia="Calibri" w:hAnsi="Calibri"/>
        </w:rPr>
        <w:t xml:space="preserve">Certified Professional in Learning and Performance (CPLP), 2019</w:t>
      </w:r>
    </w:p>
    <w:p>
      <w:pPr>
        <w:pBdr>
          <w:bottom w:val="single" w:color="444444" w:sz="6" w:space="1"/>
        </w:pBdr>
        <w:spacing w:before="220" w:after="60"/>
      </w:pPr>
      <w:r>
        <w:rPr>
          <w:b/>
          <w:bCs/>
          <w:color w:val="222222"/>
          <w:sz w:val="23"/>
          <w:szCs w:val="23"/>
          <w:rFonts w:ascii="Calibri" w:cs="Calibri" w:eastAsia="Calibri" w:hAnsi="Calibri"/>
        </w:rPr>
        <w:t xml:space="preserve">LANGUAGES</w:t>
      </w:r>
    </w:p>
    <w:p>
      <w:pPr>
        <w:spacing w:after="80"/>
      </w:pPr>
      <w:r>
        <w:rPr>
          <w:sz w:val="21"/>
          <w:szCs w:val="21"/>
          <w:rFonts w:ascii="Calibri" w:cs="Calibri" w:eastAsia="Calibri" w:hAnsi="Calibri"/>
        </w:rPr>
        <w:t xml:space="preserve">Spanish (native), English (bilingual, 15+ years working in London), French (intermediate), Portuguese (basic)</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 Cobos CV</dc:title>
  <dc:creator>Alex Cobos</dc:creator>
  <cp:lastModifiedBy>Un-named</cp:lastModifiedBy>
  <cp:revision>1</cp:revision>
  <dcterms:created xsi:type="dcterms:W3CDTF">2026-09-28T21:11:24.321Z</dcterms:created>
  <dcterms:modified xsi:type="dcterms:W3CDTF">2026-09-28T21:11:24.321Z</dcterms:modified>
</cp:coreProperties>
</file>

<file path=docProps/custom.xml><?xml version="1.0" encoding="utf-8"?>
<Properties xmlns="http://schemas.openxmlformats.org/officeDocument/2006/custom-properties" xmlns:vt="http://schemas.openxmlformats.org/officeDocument/2006/docPropsVTypes"/>
</file>