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4"/>
          <w:szCs w:val="34"/>
          <w:rFonts w:ascii="Calibri" w:cs="Calibri" w:eastAsia="Calibri" w:hAnsi="Calibri"/>
        </w:rPr>
        <w:t xml:space="preserve">ALEX COBOS</w:t>
      </w:r>
    </w:p>
    <w:p>
      <w:pPr>
        <w:spacing w:after="40"/>
      </w:pPr>
      <w:r>
        <w:rPr>
          <w:b/>
          <w:bCs/>
          <w:color w:val="333333"/>
          <w:sz w:val="23"/>
          <w:szCs w:val="23"/>
          <w:rFonts w:ascii="Calibri" w:cs="Calibri" w:eastAsia="Calibri" w:hAnsi="Calibri"/>
        </w:rPr>
        <w:t xml:space="preserve">Senior Customer Success Manager | Gestión de Cuentas Estratégicas | SaaS Enterprise</w:t>
      </w:r>
    </w:p>
    <w:p>
      <w:pPr>
        <w:spacing w:after="80"/>
      </w:pPr>
      <w:r>
        <w:rPr>
          <w:color w:val="444444"/>
          <w:sz w:val="20"/>
          <w:szCs w:val="20"/>
          <w:rFonts w:ascii="Calibri" w:cs="Calibri" w:eastAsia="Calibri" w:hAnsi="Calibri"/>
        </w:rPr>
        <w:t xml:space="preserve">Calle Antonio Pérez 9, 28002 Madrid | alex.lopcob@gmail.com | +34 690 660 128 | linkedin.com/in/alex-cobos-50599618</w:t>
      </w:r>
    </w:p>
    <w:p>
      <w:pPr>
        <w:spacing w:after="80"/>
      </w:pPr>
      <w:r>
        <w:rPr>
          <w:color w:val="444444"/>
          <w:sz w:val="20"/>
          <w:szCs w:val="20"/>
          <w:rFonts w:ascii="Calibri" w:cs="Calibri" w:eastAsia="Calibri" w:hAnsi="Calibri"/>
        </w:rPr>
        <w:t xml:space="preserve">Residente en Madrid, presencial o híbrido | Nacionalidad española, permiso de trabajo en la UE y Reino Unido | Incorporación inmediata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PERFIL PROFESIONAL</w:t>
      </w:r>
    </w:p>
    <w:p>
      <w:p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Líder senior de Customer Success y cuentas estratégicas con más de 15 años en B2B enterprise, 8 de ellos en SaaS. Responsable en Coursera de una cartera de más de 11 M$ de ARR con más de 25 cuentas estratégicas (Grupo Volkswagen, Novartis, HSBC, BBVA), con renovaciones superiores al 90 % y un NRR del 125 %. Construye funciones de Customer Success, modelos de health scoring y sistemas de riesgo de renovación desde cero, aplicando herramientas de IA a la previsión de renovaciones. Bilingüe español e inglés, MBA por la London School of Economics, residente en Madrid.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COMPETENCIAS CLAVE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Customer Success enterprise y gestión de cuentas estratégicas (carteras de más de 10 M$ de ARR)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Renovaciones, Net Revenue Retention y estrategia de expansión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Executive Business Reviews y gestión de stakeholders de nivel 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Health scoring, previsión de churn y mitigación de riesgos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Planes de adopción, gestión del cambio y realización de valor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Diseño de programas de CS, playbooks y documentación de procesos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Liderazgo transversal con Ventas, Producto y Soporte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Mentoría de equipos, enablement y apoyo en contratación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Gainsight, Salesforce, HubSpot, Tableau, Power BI, Looker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Flujos de CS asistidos por IA (Claude, Make) para health scoring y previsión de renovaciones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EXPERIENCIA PROFESIONAL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Consultor independiente de Customer Success (fractional)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Ene 2026 – Actualidad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Fractional Customer Success Lead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Madrid, 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Proyectos fractional e interinos de Customer Success para empresas SaaS B2B: revisiones de riesgo de renovación, modelos de health score, programas de Executive Business Reviews y planes de expansión.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Diseño de playbooks de onboarding y éxito que dan a fundadores y equipos de CS un camino repetible desde la firma hasta la renovación.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Construcción de herramientas de previsión de renovaciones y salud de cuenta asistidas por IA que convierten datos de uso y soporte en decisiones semanales de riesgo.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Pressure Calibration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Feb 2025 – Actualidad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Cofundador y Responsable Comercial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Madrid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Cofundador de una empresa de rendimiento y bienestar que ayuda a líderes y equipos comerciales a rendir bajo presión; construcción del go-to-market, del marco de Customer Success y del onboarding desde cero.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Apertura de pipeline enterprise mediante contacto directo con CROs y VP de Ventas; programas de cohortes en Madrid y el Nervous System Summit en Tallin.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Coursera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May 2021 – Feb 2025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Senior Customer Success Manager, Cuentas Estratégicas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Responsable de más de 11 M$ de ARR en más de 25 cuentas enterprise estratégicas, entre ellas Grupo Volkswagen, Novartis, HSBC y BBVA; asesor principal de stakeholders de nivel C y VP en objetivos de adopción y transformación.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Renovaciones superiores al 90 % y NRR del 125 % mediante mitigación proactiva de riesgos, planificación plurianual de éxito y seguimiento riguroso de resultados; evitó varios casos de churn de seis cifras.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Dirección de Executive Business Reviews con stakeholders Fortune 500 y planes de éxito conjuntos que generaron cientos de miles de dólares de ARR incremental.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Diseño de planes de adopción y programas de gestión del cambio en despliegues complejos y multipaís, reduciendo el time to value y elevando el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Uso de Gainsight, Tableau y Power BI para detectar brechas de adopción y señales de expansión; los playbooks resultantes se adoptaron en todo 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Mentoría de CSMs, documentación de procesos y apoyo en contratación y onboarding; voz del cliente ante el roadmap de producto.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Wiley / CrossKnowledge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Sep 2018 – May 2021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Global Account Director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Crecimiento y retención de unas 50 cuentas enterprise (40 en Reino Unido, 10 en España y México), incluidas HSBC y Barclays, manteniendo renovaciones superiores al 90 % en una cartera SaaS de formación digital de varios millones de dólares.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Diseño de marcos de adopción y programas de gestión del cambio para miles de usuarios en plataformas de RR. HH. y formación.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Relaciones de asesor de confianza con patrocinadores de nivel C y coordinación de Ventas, Servicios y Soporte para ejecutar los planes de cuenta.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Learning Technologies Group (Eukleia Training)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Jun 2017 – Ago 2018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Solutions Consultant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Crecimiento y retención de tres cuentas clave en Reino Unido y captación de nuevo negocio; venta de un programa global de formación en cumplimiento por 450.000 £ a uno de los tres mayores bancos de inversión.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Euromoney Learning Solutions (Euromoney PLC)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Jun 2015 – Jun 2017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Senior Client Relationship Manager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Contratos de formación a medida con bancos, gobiernos e instituciones financieras de desarrollo en Europa, África y Latinoamérica; objetivos cumplidos dos años seguidos (150.000 £ y 550.000 £) y apertura de cuatro mercados nuevos.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Financial Times | IE Corporate Learning Alliance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Mar 2014 – Jul 2015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Desarrollo de Negocio y Gestión de Cuentas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Superación constante de la cuota; lanzamiento de una iniciativa B2B de suscripciones regalo que firmó 10 nuevos clientes corporativos en sus tres primeros meses.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Euromonitor International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Oct 2013 – Feb 2014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Key Account Manager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Negociación de renovaciones y crecimiento del uso de SaaS con clientes de gran consumo, incluida una renovación de 1,03 M€ con la mayor cuenta de retail de la cartera.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Puestos anteriores: ventas B2B de suscripciones e información (Springer, Informa)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2009 – 2013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Gestión de cuentas y desarrollo de negocio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Londres y Madrid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FORMACIÓN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MBA, London School of Economics and Political Science, 2017 –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Licenciatura en Publicidad y Relaciones Públicas, ESIC Business and Marketing School, Madrid, 2004 – 2009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AI/ML Applications, Anthropic y DeepLearning.AI,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Applied AI Workflows and Automation, 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Machine Learning for Business Professionals, Google Cloud,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Certified Professional in Learning and Performance (CPLP), 2019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IDIOMAS</w:t>
      </w:r>
    </w:p>
    <w:p>
      <w:p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Español (nativo), inglés (bilingüe, más de 15 años trabajando en Londres), francés (intermedio), portugués (básico)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Cobos CV</dc:title>
  <dc:creator>Alex Cobos</dc:creator>
  <cp:lastModifiedBy>Un-named</cp:lastModifiedBy>
  <cp:revision>1</cp:revision>
  <dcterms:created xsi:type="dcterms:W3CDTF">2026-09-28T21:11:24.330Z</dcterms:created>
  <dcterms:modified xsi:type="dcterms:W3CDTF">2026-09-28T21:11:24.330Z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