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BC45" w14:textId="77777777" w:rsidR="00187BAD" w:rsidRPr="00187BAD" w:rsidRDefault="003F08ED" w:rsidP="00912344">
      <w:pPr>
        <w:jc w:val="both"/>
        <w:rPr>
          <w:rFonts w:ascii="Times New Roman" w:hAnsi="Times New Roman" w:cs="Times New Roman"/>
          <w:b/>
          <w:bCs/>
          <w:u w:val="single"/>
          <w:lang w:val="en-US"/>
        </w:rPr>
      </w:pPr>
      <w:r>
        <w:rPr>
          <w:rFonts w:ascii="Times New Roman" w:hAnsi="Times New Roman" w:cs="Times New Roman"/>
          <w:b/>
          <w:bCs/>
          <w:u w:val="single"/>
          <w:lang w:val="en-US"/>
        </w:rPr>
        <w:t>SUMMARY</w:t>
      </w:r>
    </w:p>
    <w:p w14:paraId="5F6B8BBD" w14:textId="187FF94E" w:rsidR="00302EBB" w:rsidRDefault="00187BAD" w:rsidP="00912344">
      <w:pPr>
        <w:pStyle w:val="NormalWeb"/>
        <w:jc w:val="both"/>
        <w:rPr>
          <w:rFonts w:eastAsiaTheme="minorEastAsia"/>
          <w:kern w:val="2"/>
          <w14:ligatures w14:val="standardContextual"/>
        </w:rPr>
      </w:pPr>
      <w:r w:rsidRPr="00187BAD">
        <w:rPr>
          <w:lang w:val="en-US"/>
        </w:rPr>
        <w:t>The model implemented in portfolio_risk_model.</w:t>
      </w:r>
      <w:r w:rsidR="00E87812">
        <w:rPr>
          <w:lang w:val="en-US"/>
        </w:rPr>
        <w:t>py</w:t>
      </w:r>
      <w:r w:rsidRPr="00187BAD">
        <w:rPr>
          <w:lang w:val="en-US"/>
        </w:rPr>
        <w:t xml:space="preserve"> outputs risk metrics for a</w:t>
      </w:r>
      <w:r w:rsidR="00377C12">
        <w:rPr>
          <w:lang w:val="en-US"/>
        </w:rPr>
        <w:t>n equity</w:t>
      </w:r>
      <w:r w:rsidRPr="00187BAD">
        <w:rPr>
          <w:lang w:val="en-US"/>
        </w:rPr>
        <w:t xml:space="preserve"> portfolio</w:t>
      </w:r>
      <w:r w:rsidR="00377C12">
        <w:rPr>
          <w:lang w:val="en-US"/>
        </w:rPr>
        <w:t>.</w:t>
      </w:r>
      <w:r w:rsidRPr="00187BAD">
        <w:rPr>
          <w:lang w:val="en-US"/>
        </w:rPr>
        <w:t xml:space="preserve"> </w:t>
      </w:r>
      <w:r w:rsidR="00377C12">
        <w:rPr>
          <w:lang w:val="en-US"/>
        </w:rPr>
        <w:t xml:space="preserve">The </w:t>
      </w:r>
      <w:r w:rsidRPr="00187BAD">
        <w:rPr>
          <w:lang w:val="en-US"/>
        </w:rPr>
        <w:t xml:space="preserve">equity names </w:t>
      </w:r>
      <w:r w:rsidR="00E87812">
        <w:rPr>
          <w:lang w:val="en-US"/>
        </w:rPr>
        <w:t xml:space="preserve">and </w:t>
      </w:r>
      <w:r w:rsidRPr="00187BAD">
        <w:rPr>
          <w:lang w:val="en-US"/>
        </w:rPr>
        <w:t>a lookback period (5, 10, 15 or 20 years)</w:t>
      </w:r>
      <w:r w:rsidR="00377C12">
        <w:rPr>
          <w:lang w:val="en-US"/>
        </w:rPr>
        <w:t xml:space="preserve"> are both to be specified by the user</w:t>
      </w:r>
      <w:r w:rsidRPr="00187BAD">
        <w:rPr>
          <w:lang w:val="en-US"/>
        </w:rPr>
        <w:t xml:space="preserve">. </w:t>
      </w:r>
      <w:r w:rsidR="007E1DD8">
        <w:rPr>
          <w:lang w:val="en-US"/>
        </w:rPr>
        <w:t>Weights of equity names in the portfolio are randomized and</w:t>
      </w:r>
      <w:r w:rsidRPr="00187BAD">
        <w:rPr>
          <w:color w:val="000000"/>
        </w:rPr>
        <w:t xml:space="preserve"> historical </w:t>
      </w:r>
      <w:r w:rsidR="00302EBB">
        <w:rPr>
          <w:color w:val="000000"/>
        </w:rPr>
        <w:t xml:space="preserve">price </w:t>
      </w:r>
      <w:r w:rsidRPr="00187BAD">
        <w:rPr>
          <w:color w:val="000000"/>
        </w:rPr>
        <w:t>data</w:t>
      </w:r>
      <w:r w:rsidR="00302EBB">
        <w:rPr>
          <w:color w:val="000000"/>
        </w:rPr>
        <w:t xml:space="preserve"> </w:t>
      </w:r>
      <w:r w:rsidR="007E1DD8">
        <w:rPr>
          <w:color w:val="000000"/>
        </w:rPr>
        <w:t xml:space="preserve">is obtained </w:t>
      </w:r>
      <w:r w:rsidR="00302EBB">
        <w:rPr>
          <w:color w:val="000000"/>
        </w:rPr>
        <w:t>from yfinance</w:t>
      </w:r>
      <w:r w:rsidRPr="00187BAD">
        <w:rPr>
          <w:color w:val="000000"/>
        </w:rPr>
        <w:t xml:space="preserve"> to compute key risk metrics, including Value at Risk (VaR), Conditional Value at Risk (CVaR), scenario analysis outcomes, stressed VaR, </w:t>
      </w:r>
      <w:r w:rsidR="001D3F36">
        <w:rPr>
          <w:color w:val="000000"/>
        </w:rPr>
        <w:t xml:space="preserve">maximum drawdown </w:t>
      </w:r>
      <w:r w:rsidRPr="00187BAD">
        <w:rPr>
          <w:color w:val="000000"/>
        </w:rPr>
        <w:t>and portfolio beta.</w:t>
      </w:r>
      <w:r w:rsidR="007E1DD8">
        <w:rPr>
          <w:rStyle w:val="apple-converted-space"/>
          <w:color w:val="000000"/>
        </w:rPr>
        <w:t xml:space="preserve"> </w:t>
      </w:r>
    </w:p>
    <w:p w14:paraId="3BDCC86C" w14:textId="77777777" w:rsidR="00187BAD" w:rsidRDefault="00302EBB" w:rsidP="00912344">
      <w:pPr>
        <w:pStyle w:val="NormalWeb"/>
        <w:jc w:val="both"/>
      </w:pPr>
      <w:r>
        <w:rPr>
          <w:rFonts w:eastAsiaTheme="minorEastAsia"/>
          <w:kern w:val="2"/>
          <w14:ligatures w14:val="standardContextual"/>
        </w:rPr>
        <w:t xml:space="preserve">The risk model computes the Value at Risk (VaR) and the </w:t>
      </w:r>
      <w:r w:rsidR="00C269D1">
        <w:t>C</w:t>
      </w:r>
      <w:r>
        <w:t>onditional VaR (CVaR)</w:t>
      </w:r>
      <w:r w:rsidR="00912344">
        <w:t xml:space="preserve">, incorporates scenario analysis and a stress test to determine the worst return and stressed VaR respectively. Portfolio beta and stressed beta is also computed which takes into account the fact that portfolio beta during normal market times could differ significantly as compared to during market selloffs. </w:t>
      </w:r>
    </w:p>
    <w:p w14:paraId="2001AD41" w14:textId="77777777" w:rsidR="00843BC6" w:rsidRDefault="00377C12" w:rsidP="00912344">
      <w:pPr>
        <w:pStyle w:val="NormalWeb"/>
        <w:jc w:val="both"/>
      </w:pPr>
      <w:r>
        <w:t xml:space="preserve">The VaR </w:t>
      </w:r>
      <w:r w:rsidR="00AF1338">
        <w:t xml:space="preserve">estimates maximum loss of the portfolio over a time period given a level of confidence while CVaR measures the tail risk of the portfolio. The confidence level, time horizon and number of simulations has been set to 99%, 1 trading day and 10,000 respectively as default. </w:t>
      </w:r>
      <w:r w:rsidR="00FD0296">
        <w:t xml:space="preserve">Monte Carlo </w:t>
      </w:r>
      <w:r w:rsidR="00372E6F">
        <w:t xml:space="preserve">(MC) </w:t>
      </w:r>
      <w:r w:rsidR="00FD0296">
        <w:t xml:space="preserve">simulations and the Geometric Brownian Motion (GBM): </w:t>
      </w:r>
    </w:p>
    <w:p w14:paraId="7B605E2B" w14:textId="77777777" w:rsidR="00912344" w:rsidRDefault="00377C12" w:rsidP="00AF1338">
      <w:pPr>
        <w:pStyle w:val="NormalWeb"/>
        <w:ind w:left="1440" w:firstLine="720"/>
        <w:jc w:val="both"/>
      </w:pPr>
      <w: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num>
                      <m:den>
                        <m:r>
                          <w:rPr>
                            <w:rFonts w:ascii="Cambria Math" w:hAnsi="Cambria Math"/>
                          </w:rPr>
                          <m:t>2</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i</m:t>
                        </m:r>
                      </m:sub>
                    </m:sSub>
                  </m:e>
                </m:rad>
                <m:sSub>
                  <m:sSubPr>
                    <m:ctrlPr>
                      <w:rPr>
                        <w:rFonts w:ascii="Cambria Math" w:hAnsi="Cambria Math"/>
                        <w:i/>
                      </w:rPr>
                    </m:ctrlPr>
                  </m:sSubPr>
                  <m:e>
                    <m:r>
                      <w:rPr>
                        <w:rFonts w:ascii="Cambria Math" w:hAnsi="Cambria Math"/>
                      </w:rPr>
                      <m:t>ϵ</m:t>
                    </m:r>
                  </m:e>
                  <m:sub>
                    <m:r>
                      <w:rPr>
                        <w:rFonts w:ascii="Cambria Math" w:hAnsi="Cambria Math"/>
                      </w:rPr>
                      <m:t>i</m:t>
                    </m:r>
                  </m:sub>
                </m:sSub>
              </m:e>
            </m:d>
          </m:e>
        </m:func>
      </m:oMath>
    </w:p>
    <w:p w14:paraId="3B09835E" w14:textId="77777777" w:rsidR="00FD0296" w:rsidRDefault="00FD0296" w:rsidP="00372E6F">
      <w:pPr>
        <w:pStyle w:val="NormalWeb"/>
        <w:rPr>
          <w:color w:val="000000"/>
        </w:rPr>
      </w:pPr>
      <w:r>
        <w:t xml:space="preserve">is used to model asset prices and compute the losses. </w:t>
      </w:r>
      <w:r w:rsidR="00372E6F">
        <w:rPr>
          <w:color w:val="000000"/>
        </w:rPr>
        <w:t xml:space="preserve">Potential portfolio losses are estimated by simulating future asset prices (terminal values) based on historical returns, volatility, and correlations from the lookback period. </w:t>
      </w:r>
      <w:r w:rsidR="00D501B2">
        <w:rPr>
          <w:color w:val="000000"/>
        </w:rPr>
        <w:t>10, 000 portfolio returns are simulated and the VaR and CVaR are calculated.</w:t>
      </w:r>
      <w:r w:rsidR="00034640">
        <w:rPr>
          <w:color w:val="000000"/>
        </w:rPr>
        <w:t xml:space="preserve"> VaR and CVaR can be interpreted as follows: </w:t>
      </w:r>
    </w:p>
    <w:p w14:paraId="77018EC7" w14:textId="77777777" w:rsidR="00034640" w:rsidRPr="0085303E" w:rsidRDefault="00034640" w:rsidP="00034640">
      <w:pPr>
        <w:pStyle w:val="NormalWeb"/>
        <w:rPr>
          <w:color w:val="000000"/>
        </w:rPr>
      </w:pPr>
      <w:r w:rsidRPr="00843BC6">
        <w:rPr>
          <w:b/>
          <w:bCs/>
        </w:rPr>
        <w:t>1-day VaR (99%):</w:t>
      </w:r>
      <w:r>
        <w:t xml:space="preserve"> $</w:t>
      </w:r>
      <w:r w:rsidRPr="00034640">
        <w:rPr>
          <w:b/>
          <w:bCs/>
        </w:rPr>
        <w:t>x</w:t>
      </w:r>
      <w:r>
        <w:t xml:space="preserve"> {</w:t>
      </w:r>
      <w:r>
        <w:rPr>
          <w:color w:val="000000"/>
        </w:rPr>
        <w:t>There is a 99% probability that the portfolio’s loss over one trading day (from July 11 to July 12, 2025) will not exceed $</w:t>
      </w:r>
      <w:r w:rsidRPr="00034640">
        <w:rPr>
          <w:b/>
          <w:bCs/>
          <w:color w:val="000000"/>
        </w:rPr>
        <w:t>x</w:t>
      </w:r>
      <w:r>
        <w:rPr>
          <w:color w:val="000000"/>
        </w:rPr>
        <w:t>. In other words, in only 1% of scenarios (the worst 1% of outcomes), the portfolio could lose more than $</w:t>
      </w:r>
      <w:r w:rsidRPr="00034640">
        <w:rPr>
          <w:b/>
          <w:bCs/>
          <w:color w:val="000000"/>
        </w:rPr>
        <w:t>x</w:t>
      </w:r>
      <w:r>
        <w:rPr>
          <w:color w:val="000000"/>
        </w:rPr>
        <w:t>.}</w:t>
      </w:r>
    </w:p>
    <w:p w14:paraId="11CF5C23" w14:textId="77777777" w:rsidR="00034640" w:rsidRDefault="00034640" w:rsidP="00372E6F">
      <w:pPr>
        <w:pStyle w:val="NormalWeb"/>
        <w:rPr>
          <w:color w:val="000000"/>
        </w:rPr>
      </w:pPr>
      <w:r w:rsidRPr="00843BC6">
        <w:rPr>
          <w:b/>
          <w:bCs/>
        </w:rPr>
        <w:t>1-day CVaR (99%):</w:t>
      </w:r>
      <w:r>
        <w:t xml:space="preserve"> $</w:t>
      </w:r>
      <w:r w:rsidRPr="00034640">
        <w:rPr>
          <w:b/>
          <w:bCs/>
        </w:rPr>
        <w:t>y</w:t>
      </w:r>
      <w:r>
        <w:t xml:space="preserve"> {</w:t>
      </w:r>
      <w:r>
        <w:rPr>
          <w:color w:val="000000"/>
        </w:rPr>
        <w:t>$</w:t>
      </w:r>
      <w:r w:rsidRPr="00034640">
        <w:rPr>
          <w:b/>
          <w:bCs/>
          <w:color w:val="000000"/>
        </w:rPr>
        <w:t>y</w:t>
      </w:r>
      <w:r>
        <w:rPr>
          <w:color w:val="000000"/>
        </w:rPr>
        <w:t xml:space="preserve"> represents the average loss in the worst 1% of scenarios. If the portfolio does lose more than the VaR ($</w:t>
      </w:r>
      <w:r w:rsidRPr="00034640">
        <w:rPr>
          <w:b/>
          <w:bCs/>
          <w:color w:val="000000"/>
        </w:rPr>
        <w:t>x</w:t>
      </w:r>
      <w:r>
        <w:rPr>
          <w:color w:val="000000"/>
        </w:rPr>
        <w:t>), the expected loss in those extreme cases is approximately $</w:t>
      </w:r>
      <w:r w:rsidRPr="00034640">
        <w:rPr>
          <w:b/>
          <w:bCs/>
          <w:color w:val="000000"/>
        </w:rPr>
        <w:t>y</w:t>
      </w:r>
      <w:r>
        <w:rPr>
          <w:color w:val="000000"/>
        </w:rPr>
        <w:t>.}</w:t>
      </w:r>
    </w:p>
    <w:p w14:paraId="5B0E574C" w14:textId="77777777" w:rsidR="00D23019" w:rsidRDefault="00D23019" w:rsidP="00D23019">
      <w:pPr>
        <w:pStyle w:val="NormalWeb"/>
        <w:rPr>
          <w:color w:val="000000"/>
        </w:rPr>
      </w:pPr>
      <w:r>
        <w:rPr>
          <w:color w:val="000000"/>
        </w:rPr>
        <w:t xml:space="preserve">CVaR, also known as Expected Shortfall (ES) is also computed at multiple confidence intervals (95%, 99% &amp; 99.5%). ES represents the average portfolio loss in the worst (1 - confidence_level)% of scenarios, providing a measure of tail risk VaR. </w:t>
      </w:r>
    </w:p>
    <w:p w14:paraId="5037DB5F" w14:textId="77777777" w:rsidR="00732E62" w:rsidRDefault="00732E62" w:rsidP="00732E62">
      <w:pPr>
        <w:pStyle w:val="NormalWeb"/>
        <w:rPr>
          <w:color w:val="000000"/>
        </w:rPr>
      </w:pPr>
      <w:r>
        <w:rPr>
          <w:color w:val="000000"/>
        </w:rPr>
        <w:t xml:space="preserve">Maximum drawdown shows the largest percentage loss in portfolio value from a historical peak to a subsequent trough over the specified lookback period. The output is the maximum drawdown in percentage multiplied with current portfolio value. </w:t>
      </w:r>
    </w:p>
    <w:p w14:paraId="09E7A069" w14:textId="77777777" w:rsidR="00D23019" w:rsidRPr="00372E6F" w:rsidRDefault="00732E62" w:rsidP="00372E6F">
      <w:pPr>
        <w:pStyle w:val="NormalWeb"/>
        <w:rPr>
          <w:color w:val="000000"/>
        </w:rPr>
      </w:pPr>
      <w:r>
        <w:rPr>
          <w:color w:val="000000"/>
        </w:rPr>
        <w:t>Marginal VaR is also included, where it measures the incremental contribution of each asset to the portfolio’s overall VaR.</w:t>
      </w:r>
      <w:r w:rsidR="003F08ED">
        <w:rPr>
          <w:color w:val="000000"/>
        </w:rPr>
        <w:t xml:space="preserve"> </w:t>
      </w:r>
    </w:p>
    <w:p w14:paraId="160187E8" w14:textId="77777777" w:rsidR="004A53FE" w:rsidRDefault="00D501B2" w:rsidP="004A53FE">
      <w:pPr>
        <w:pStyle w:val="NormalWeb"/>
        <w:rPr>
          <w:color w:val="000000"/>
        </w:rPr>
      </w:pPr>
      <w:r>
        <w:t xml:space="preserve">Scenario analysis simulates portfolio performance under user-defined scenarios </w:t>
      </w:r>
      <w:r>
        <w:rPr>
          <w:color w:val="000000"/>
        </w:rPr>
        <w:t>(e.g., a 10% price drop for AAPL or 1.5x volatility for MSFT). The same approach for simulating terminal values is used as before</w:t>
      </w:r>
      <w:r w:rsidR="00403341">
        <w:rPr>
          <w:color w:val="000000"/>
        </w:rPr>
        <w:t xml:space="preserve"> and t</w:t>
      </w:r>
      <w:r w:rsidR="004A53FE">
        <w:rPr>
          <w:color w:val="000000"/>
        </w:rPr>
        <w:t xml:space="preserve">he outputs are the mean return: expected portfolio gain </w:t>
      </w:r>
      <w:r w:rsidR="004A53FE">
        <w:rPr>
          <w:color w:val="000000"/>
        </w:rPr>
        <w:lastRenderedPageBreak/>
        <w:t>or loss (in dollars) over one trading day and the worst return: worst-case loss (in dollars) in the 10,000 simulated paths, highlighting the extreme downside.</w:t>
      </w:r>
      <w:r w:rsidR="00EC6EC5">
        <w:rPr>
          <w:color w:val="000000"/>
        </w:rPr>
        <w:t xml:space="preserve"> The available scenarios are: 1) Price shock, 2) Volatility shock</w:t>
      </w:r>
      <w:r w:rsidR="00403341">
        <w:rPr>
          <w:color w:val="000000"/>
        </w:rPr>
        <w:t>,</w:t>
      </w:r>
      <w:r w:rsidR="00EC6EC5">
        <w:rPr>
          <w:color w:val="000000"/>
        </w:rPr>
        <w:t xml:space="preserve"> 3) Return shock</w:t>
      </w:r>
      <w:r w:rsidR="00403341">
        <w:rPr>
          <w:color w:val="000000"/>
        </w:rPr>
        <w:t xml:space="preserve"> and 4) Correlation shock. An option is included to account for pair-specific correlation shocks or global correlation shocks. </w:t>
      </w:r>
    </w:p>
    <w:p w14:paraId="53C785C1" w14:textId="77777777" w:rsidR="00FD0296" w:rsidRDefault="00EC6EC5" w:rsidP="00D501B2">
      <w:pPr>
        <w:pStyle w:val="NormalWeb"/>
        <w:rPr>
          <w:color w:val="000000"/>
        </w:rPr>
      </w:pPr>
      <w:r>
        <w:rPr>
          <w:color w:val="000000"/>
        </w:rPr>
        <w:t>Stress testing returns the stressed VaR and supports two stressors:</w:t>
      </w:r>
    </w:p>
    <w:p w14:paraId="286318FA" w14:textId="77777777" w:rsidR="00EC6EC5" w:rsidRDefault="00EC6EC5" w:rsidP="00EC6EC5">
      <w:pPr>
        <w:pStyle w:val="NormalWeb"/>
        <w:numPr>
          <w:ilvl w:val="0"/>
          <w:numId w:val="1"/>
        </w:numPr>
        <w:rPr>
          <w:color w:val="000000"/>
        </w:rPr>
      </w:pPr>
      <w:r>
        <w:rPr>
          <w:color w:val="000000"/>
        </w:rPr>
        <w:t xml:space="preserve">Volatility multiplier : increases the volatility and covariance matrix to simulate heightened market uncertainty. </w:t>
      </w:r>
    </w:p>
    <w:p w14:paraId="7CC1FCD1" w14:textId="77777777" w:rsidR="00EC6EC5" w:rsidRPr="00EC6EC5" w:rsidRDefault="00EC6EC5" w:rsidP="00EC6EC5">
      <w:pPr>
        <w:pStyle w:val="NormalWeb"/>
        <w:numPr>
          <w:ilvl w:val="0"/>
          <w:numId w:val="1"/>
        </w:numPr>
        <w:rPr>
          <w:color w:val="000000"/>
        </w:rPr>
      </w:pPr>
      <w:r>
        <w:rPr>
          <w:color w:val="000000"/>
        </w:rPr>
        <w:t xml:space="preserve">Historical worst returns : expected returns are </w:t>
      </w:r>
      <w:r w:rsidRPr="00EC6EC5">
        <w:rPr>
          <w:color w:val="000000"/>
        </w:rPr>
        <w:t>the worst historical daily return, simulating a repeat of the worst-case scenario.</w:t>
      </w:r>
    </w:p>
    <w:p w14:paraId="390CE180" w14:textId="77777777" w:rsidR="00290C9A" w:rsidRDefault="00B05E4D" w:rsidP="00912344">
      <w:pPr>
        <w:pStyle w:val="NormalWeb"/>
        <w:jc w:val="both"/>
      </w:pPr>
      <w:r>
        <w:t>As</w:t>
      </w:r>
      <w:r w:rsidR="00EC6EC5">
        <w:t xml:space="preserve"> before, terminal values are simulated using GBM using the stressed input parameters.</w:t>
      </w:r>
      <w:r w:rsidR="00290C9A">
        <w:t xml:space="preserve"> </w:t>
      </w:r>
      <w:r>
        <w:t xml:space="preserve">Similar to scenario analysis, a correlation shock can be simulated for stress tests in the same format. </w:t>
      </w:r>
    </w:p>
    <w:p w14:paraId="3E33C3D7" w14:textId="77777777" w:rsidR="00D501B2" w:rsidRDefault="00290C9A" w:rsidP="00912344">
      <w:pPr>
        <w:pStyle w:val="NormalWeb"/>
        <w:jc w:val="both"/>
      </w:pPr>
      <w:r>
        <w:t xml:space="preserve">Portfolio beta, as well as the stressed portfolio beta, is calculated as well. The portfolio beta is calculated using SPY as a benchmark and the specified lookback period. The stressed portfolio beta focuses on market selloffs defined as on days where SPY declined more than 2%. An additional condition is included whereby the regression proceeds if there are more than 10 selloff days. </w:t>
      </w:r>
    </w:p>
    <w:p w14:paraId="62ECEEDD" w14:textId="77777777" w:rsidR="00034640" w:rsidRDefault="00843BC6" w:rsidP="00912344">
      <w:pPr>
        <w:pStyle w:val="NormalWeb"/>
        <w:jc w:val="both"/>
      </w:pPr>
      <w:r>
        <w:t xml:space="preserve">For eg: for a portfolio of AAPL, MSFT, NVDA, JPM, C, WMT. The model output shows: </w:t>
      </w:r>
    </w:p>
    <w:p w14:paraId="3694735F"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Portfolio Risk Report</w:t>
      </w:r>
    </w:p>
    <w:p w14:paraId="781ACA3E"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t>
      </w:r>
    </w:p>
    <w:p w14:paraId="36CD9859"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Date: 2025-07-12</w:t>
      </w:r>
    </w:p>
    <w:p w14:paraId="085A507F"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Portfolio Value: $253.25</w:t>
      </w:r>
    </w:p>
    <w:p w14:paraId="0BCEDA87" w14:textId="77777777" w:rsidR="005B314E" w:rsidRPr="005B314E" w:rsidRDefault="005B314E" w:rsidP="005B314E">
      <w:pPr>
        <w:rPr>
          <w:rFonts w:ascii="Menlo" w:eastAsia="Times New Roman" w:hAnsi="Menlo" w:cs="Menlo"/>
          <w:color w:val="000000" w:themeColor="text1"/>
          <w:kern w:val="0"/>
          <w:sz w:val="18"/>
          <w:szCs w:val="18"/>
          <w14:ligatures w14:val="none"/>
        </w:rPr>
      </w:pPr>
    </w:p>
    <w:p w14:paraId="19A21DF9"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Tickers and Weights:</w:t>
      </w:r>
    </w:p>
    <w:p w14:paraId="7B64A462"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t>
      </w:r>
    </w:p>
    <w:p w14:paraId="5F033604"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AAPL       | Weight: 0.3582</w:t>
      </w:r>
    </w:p>
    <w:p w14:paraId="193C1F62"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MSFT       | Weight: 0.1664</w:t>
      </w:r>
    </w:p>
    <w:p w14:paraId="328CA39B"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NVDA       | Weight: 0.2189</w:t>
      </w:r>
    </w:p>
    <w:p w14:paraId="586D4334"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JPM        | Weight: 0.1745</w:t>
      </w:r>
    </w:p>
    <w:p w14:paraId="72B8102F"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C          | Weight: 0.0039</w:t>
      </w:r>
    </w:p>
    <w:p w14:paraId="1A51C34D"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WMT        | Weight: 0.0782</w:t>
      </w:r>
    </w:p>
    <w:p w14:paraId="4DBE2DEC" w14:textId="77777777" w:rsidR="005B314E" w:rsidRPr="005B314E" w:rsidRDefault="005B314E" w:rsidP="005B314E">
      <w:pPr>
        <w:rPr>
          <w:rFonts w:ascii="Menlo" w:eastAsia="Times New Roman" w:hAnsi="Menlo" w:cs="Menlo"/>
          <w:color w:val="000000" w:themeColor="text1"/>
          <w:kern w:val="0"/>
          <w:sz w:val="18"/>
          <w:szCs w:val="18"/>
          <w14:ligatures w14:val="none"/>
        </w:rPr>
      </w:pPr>
    </w:p>
    <w:p w14:paraId="13F4A57B"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Current Prices:</w:t>
      </w:r>
    </w:p>
    <w:p w14:paraId="2B7D24FE"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t>
      </w:r>
    </w:p>
    <w:p w14:paraId="7B00FEC9"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AAPL       | Price: $211.16</w:t>
      </w:r>
    </w:p>
    <w:p w14:paraId="703B4F0A"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MSFT       | Price: $503.32</w:t>
      </w:r>
    </w:p>
    <w:p w14:paraId="2E5433BC"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NVDA       | Price: $164.92</w:t>
      </w:r>
    </w:p>
    <w:p w14:paraId="6F518BEF"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JPM        | Price: $286.86</w:t>
      </w:r>
    </w:p>
    <w:p w14:paraId="26724B75"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C          | Price: $86.73</w:t>
      </w:r>
    </w:p>
    <w:p w14:paraId="09C59642"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WMT        | Price: $94.40</w:t>
      </w:r>
    </w:p>
    <w:p w14:paraId="7C2211C7" w14:textId="77777777" w:rsidR="005B314E" w:rsidRPr="005B314E" w:rsidRDefault="005B314E" w:rsidP="005B314E">
      <w:pPr>
        <w:rPr>
          <w:rFonts w:ascii="Menlo" w:eastAsia="Times New Roman" w:hAnsi="Menlo" w:cs="Menlo"/>
          <w:color w:val="000000" w:themeColor="text1"/>
          <w:kern w:val="0"/>
          <w:sz w:val="18"/>
          <w:szCs w:val="18"/>
          <w14:ligatures w14:val="none"/>
        </w:rPr>
      </w:pPr>
    </w:p>
    <w:p w14:paraId="4210FB26"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Risk Metrics:</w:t>
      </w:r>
    </w:p>
    <w:p w14:paraId="207FC463"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t>
      </w:r>
    </w:p>
    <w:p w14:paraId="609DCCCD"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1-day VaR (99%):         $3.80</w:t>
      </w:r>
    </w:p>
    <w:p w14:paraId="20C6AF37"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1-day CVaR (99%):        $4.46</w:t>
      </w:r>
    </w:p>
    <w:p w14:paraId="013C8330"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1-day ES (95%):          $3.36</w:t>
      </w:r>
    </w:p>
    <w:p w14:paraId="09817061"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1-day ES (99%):          $4.39</w:t>
      </w:r>
    </w:p>
    <w:p w14:paraId="45C0E599"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1-day ES (99.5%):        $4.81</w:t>
      </w:r>
    </w:p>
    <w:p w14:paraId="1434F1F1"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lastRenderedPageBreak/>
        <w:t>Maximum Drawdown:        $146.94</w:t>
      </w:r>
    </w:p>
    <w:p w14:paraId="4E327421" w14:textId="77777777" w:rsidR="005B314E" w:rsidRDefault="005B314E" w:rsidP="005B314E">
      <w:pPr>
        <w:rPr>
          <w:rFonts w:ascii="Menlo" w:eastAsia="Times New Roman" w:hAnsi="Menlo" w:cs="Menlo"/>
          <w:color w:val="000000" w:themeColor="text1"/>
          <w:kern w:val="0"/>
          <w:sz w:val="18"/>
          <w:szCs w:val="18"/>
          <w14:ligatures w14:val="none"/>
        </w:rPr>
      </w:pPr>
    </w:p>
    <w:p w14:paraId="009DFE11" w14:textId="77777777" w:rsidR="005B314E" w:rsidRDefault="005B314E" w:rsidP="005B314E">
      <w:pPr>
        <w:rPr>
          <w:rFonts w:ascii="Menlo" w:eastAsia="Times New Roman" w:hAnsi="Menlo" w:cs="Menlo"/>
          <w:color w:val="000000" w:themeColor="text1"/>
          <w:kern w:val="0"/>
          <w:sz w:val="18"/>
          <w:szCs w:val="18"/>
          <w14:ligatures w14:val="none"/>
        </w:rPr>
      </w:pPr>
    </w:p>
    <w:p w14:paraId="4828911E" w14:textId="77777777" w:rsidR="005B314E" w:rsidRDefault="005B314E" w:rsidP="005B314E">
      <w:pPr>
        <w:rPr>
          <w:rFonts w:ascii="Menlo" w:eastAsia="Times New Roman" w:hAnsi="Menlo" w:cs="Menlo"/>
          <w:color w:val="000000" w:themeColor="text1"/>
          <w:kern w:val="0"/>
          <w:sz w:val="18"/>
          <w:szCs w:val="18"/>
          <w14:ligatures w14:val="none"/>
        </w:rPr>
      </w:pPr>
    </w:p>
    <w:p w14:paraId="5753F58E" w14:textId="77777777" w:rsidR="005B314E" w:rsidRDefault="005B314E" w:rsidP="005B314E">
      <w:pPr>
        <w:rPr>
          <w:rFonts w:ascii="Menlo" w:eastAsia="Times New Roman" w:hAnsi="Menlo" w:cs="Menlo"/>
          <w:color w:val="000000" w:themeColor="text1"/>
          <w:kern w:val="0"/>
          <w:sz w:val="18"/>
          <w:szCs w:val="18"/>
          <w14:ligatures w14:val="none"/>
        </w:rPr>
      </w:pPr>
    </w:p>
    <w:p w14:paraId="4B001CBB" w14:textId="77777777" w:rsidR="005B314E" w:rsidRPr="005B314E" w:rsidRDefault="005B314E" w:rsidP="005B314E">
      <w:pPr>
        <w:rPr>
          <w:rFonts w:ascii="Menlo" w:eastAsia="Times New Roman" w:hAnsi="Menlo" w:cs="Menlo"/>
          <w:color w:val="000000" w:themeColor="text1"/>
          <w:kern w:val="0"/>
          <w:sz w:val="18"/>
          <w:szCs w:val="18"/>
          <w14:ligatures w14:val="none"/>
        </w:rPr>
      </w:pPr>
    </w:p>
    <w:p w14:paraId="5E5B0B19"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Marginal VaR Contributions:</w:t>
      </w:r>
    </w:p>
    <w:p w14:paraId="65C59DC3"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t>
      </w:r>
    </w:p>
    <w:p w14:paraId="69424051"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AAPL       | Marginal VaR: $0.36</w:t>
      </w:r>
    </w:p>
    <w:p w14:paraId="2DAA54A5"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MSFT       | Marginal VaR: $0.13</w:t>
      </w:r>
    </w:p>
    <w:p w14:paraId="7A7E0306"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NVDA       | Marginal VaR: $0.32</w:t>
      </w:r>
    </w:p>
    <w:p w14:paraId="4F46E927"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JPM        | Marginal VaR: $0.16</w:t>
      </w:r>
    </w:p>
    <w:p w14:paraId="6E6B4D44"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C          | Marginal VaR: $0.00</w:t>
      </w:r>
    </w:p>
    <w:p w14:paraId="25800A36"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WMT        | Marginal VaR: $0.03</w:t>
      </w:r>
    </w:p>
    <w:p w14:paraId="3C1491A9" w14:textId="77777777" w:rsidR="005B314E" w:rsidRPr="005B314E" w:rsidRDefault="005B314E" w:rsidP="005B314E">
      <w:pPr>
        <w:rPr>
          <w:rFonts w:ascii="Menlo" w:eastAsia="Times New Roman" w:hAnsi="Menlo" w:cs="Menlo"/>
          <w:color w:val="000000" w:themeColor="text1"/>
          <w:kern w:val="0"/>
          <w:sz w:val="18"/>
          <w:szCs w:val="18"/>
          <w14:ligatures w14:val="none"/>
        </w:rPr>
      </w:pPr>
    </w:p>
    <w:p w14:paraId="7C24C447"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Scenario Analysis:</w:t>
      </w:r>
    </w:p>
    <w:p w14:paraId="298AC75D"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t>
      </w:r>
    </w:p>
    <w:p w14:paraId="4C0F0018"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Conditions: AAPL -10.0% price; MSFT 1.50x vol; Global correlation 1.20x</w:t>
      </w:r>
    </w:p>
    <w:p w14:paraId="7683733B"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Mean Return:             -$7.40</w:t>
      </w:r>
    </w:p>
    <w:p w14:paraId="2BE88875"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Worst Return:            -$14.67</w:t>
      </w:r>
    </w:p>
    <w:p w14:paraId="12C7CB3F" w14:textId="77777777" w:rsidR="005B314E" w:rsidRPr="005B314E" w:rsidRDefault="005B314E" w:rsidP="005B314E">
      <w:pPr>
        <w:rPr>
          <w:rFonts w:ascii="Menlo" w:eastAsia="Times New Roman" w:hAnsi="Menlo" w:cs="Menlo"/>
          <w:color w:val="000000" w:themeColor="text1"/>
          <w:kern w:val="0"/>
          <w:sz w:val="18"/>
          <w:szCs w:val="18"/>
          <w14:ligatures w14:val="none"/>
        </w:rPr>
      </w:pPr>
    </w:p>
    <w:p w14:paraId="15CCE217"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Stress Test:</w:t>
      </w:r>
    </w:p>
    <w:p w14:paraId="700A5AA7"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t>
      </w:r>
    </w:p>
    <w:p w14:paraId="5844B1C0"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Conditions: 2.00x volatility; AAPL-MSFT corr 0.90</w:t>
      </w:r>
    </w:p>
    <w:p w14:paraId="5E6400F8"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Stressed VaR (99%):      $15.04</w:t>
      </w:r>
    </w:p>
    <w:p w14:paraId="3D860B5A" w14:textId="77777777" w:rsidR="005B314E" w:rsidRPr="005B314E" w:rsidRDefault="005B314E" w:rsidP="005B314E">
      <w:pPr>
        <w:rPr>
          <w:rFonts w:ascii="Menlo" w:eastAsia="Times New Roman" w:hAnsi="Menlo" w:cs="Menlo"/>
          <w:color w:val="000000" w:themeColor="text1"/>
          <w:kern w:val="0"/>
          <w:sz w:val="18"/>
          <w:szCs w:val="18"/>
          <w14:ligatures w14:val="none"/>
        </w:rPr>
      </w:pPr>
    </w:p>
    <w:p w14:paraId="5A6E4CB1"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Beta Metrics:</w:t>
      </w:r>
    </w:p>
    <w:p w14:paraId="548109B3"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w:t>
      </w:r>
    </w:p>
    <w:p w14:paraId="755E0B57"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Normal Beta:             1.18</w:t>
      </w:r>
    </w:p>
    <w:p w14:paraId="33E5F75A" w14:textId="77777777" w:rsidR="005B314E" w:rsidRPr="005B314E" w:rsidRDefault="005B314E" w:rsidP="005B314E">
      <w:pPr>
        <w:rPr>
          <w:rFonts w:ascii="Menlo" w:eastAsia="Times New Roman" w:hAnsi="Menlo" w:cs="Menlo"/>
          <w:color w:val="000000" w:themeColor="text1"/>
          <w:kern w:val="0"/>
          <w:sz w:val="18"/>
          <w:szCs w:val="18"/>
          <w14:ligatures w14:val="none"/>
        </w:rPr>
      </w:pPr>
      <w:r w:rsidRPr="005B314E">
        <w:rPr>
          <w:rFonts w:ascii="Menlo" w:eastAsia="Times New Roman" w:hAnsi="Menlo" w:cs="Menlo"/>
          <w:color w:val="000000" w:themeColor="text1"/>
          <w:kern w:val="0"/>
          <w:sz w:val="18"/>
          <w:szCs w:val="18"/>
          <w14:ligatures w14:val="none"/>
        </w:rPr>
        <w:t>Stressed Beta:           0.99</w:t>
      </w:r>
    </w:p>
    <w:p w14:paraId="184EFD28" w14:textId="77777777" w:rsidR="005B314E" w:rsidRPr="005B314E" w:rsidRDefault="005B314E" w:rsidP="005B314E">
      <w:pPr>
        <w:pStyle w:val="NormalWeb"/>
        <w:jc w:val="both"/>
        <w:rPr>
          <w:rFonts w:ascii="Menlo" w:hAnsi="Menlo" w:cs="Menlo"/>
          <w:color w:val="000000" w:themeColor="text1"/>
          <w:sz w:val="18"/>
          <w:szCs w:val="18"/>
        </w:rPr>
      </w:pPr>
      <w:r w:rsidRPr="005B314E">
        <w:rPr>
          <w:rFonts w:ascii="Menlo" w:hAnsi="Menlo" w:cs="Menlo"/>
          <w:color w:val="000000" w:themeColor="text1"/>
          <w:sz w:val="18"/>
          <w:szCs w:val="18"/>
        </w:rPr>
        <w:t>==================================================</w:t>
      </w:r>
    </w:p>
    <w:p w14:paraId="2952A99F" w14:textId="77777777" w:rsidR="00912344" w:rsidRPr="00187BAD" w:rsidRDefault="00912344" w:rsidP="005B314E">
      <w:pPr>
        <w:pStyle w:val="NormalWeb"/>
        <w:jc w:val="both"/>
      </w:pPr>
      <w:r>
        <w:t>Two areas of improvement can be identified here</w:t>
      </w:r>
      <w:r w:rsidR="00377C12">
        <w:t xml:space="preserve">. Firstly, it is assumed that </w:t>
      </w:r>
      <w:r w:rsidR="00FD0296">
        <w:t>the stocks in the portfolio has a price history more than the maximum lookback period available (20 years). For newly listed stocks to be included in the portfolio, methods of imputation or using a proxy for its returns could be alternative measures which are currently not implemented here. Secondly, other models for simulating asset prices apart from the GBM can be used,</w:t>
      </w:r>
      <w:r w:rsidR="00372E6F">
        <w:t xml:space="preserve"> for eg to include jump effects etc. </w:t>
      </w:r>
    </w:p>
    <w:sectPr w:rsidR="00912344" w:rsidRPr="00187B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F3EEA"/>
    <w:multiLevelType w:val="hybridMultilevel"/>
    <w:tmpl w:val="DDE058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999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BAD"/>
    <w:rsid w:val="0002775D"/>
    <w:rsid w:val="00034640"/>
    <w:rsid w:val="00040520"/>
    <w:rsid w:val="000F1FD7"/>
    <w:rsid w:val="00187BAD"/>
    <w:rsid w:val="001D3F36"/>
    <w:rsid w:val="00290C9A"/>
    <w:rsid w:val="00302EBB"/>
    <w:rsid w:val="00372E6F"/>
    <w:rsid w:val="00373C32"/>
    <w:rsid w:val="00377C12"/>
    <w:rsid w:val="003F08ED"/>
    <w:rsid w:val="00403341"/>
    <w:rsid w:val="004A53FE"/>
    <w:rsid w:val="005B314E"/>
    <w:rsid w:val="006B1E77"/>
    <w:rsid w:val="00732E62"/>
    <w:rsid w:val="007E1DD8"/>
    <w:rsid w:val="00843BC6"/>
    <w:rsid w:val="0085303E"/>
    <w:rsid w:val="00912344"/>
    <w:rsid w:val="00AF1338"/>
    <w:rsid w:val="00B05E4D"/>
    <w:rsid w:val="00B60064"/>
    <w:rsid w:val="00BE4FDA"/>
    <w:rsid w:val="00C01CC9"/>
    <w:rsid w:val="00C07D8F"/>
    <w:rsid w:val="00C269D1"/>
    <w:rsid w:val="00CC2AF4"/>
    <w:rsid w:val="00D23019"/>
    <w:rsid w:val="00D501B2"/>
    <w:rsid w:val="00E87812"/>
    <w:rsid w:val="00EB55DE"/>
    <w:rsid w:val="00EC6EC5"/>
    <w:rsid w:val="00F438FC"/>
    <w:rsid w:val="00F9354A"/>
    <w:rsid w:val="00FD029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B65C"/>
  <w15:chartTrackingRefBased/>
  <w15:docId w15:val="{48A8E6A1-AB74-4C47-AFD4-35DCE5B46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7BAD"/>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87BAD"/>
  </w:style>
  <w:style w:type="character" w:styleId="PlaceholderText">
    <w:name w:val="Placeholder Text"/>
    <w:basedOn w:val="DefaultParagraphFont"/>
    <w:uiPriority w:val="99"/>
    <w:semiHidden/>
    <w:rsid w:val="00AF13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49995">
      <w:bodyDiv w:val="1"/>
      <w:marLeft w:val="0"/>
      <w:marRight w:val="0"/>
      <w:marTop w:val="0"/>
      <w:marBottom w:val="0"/>
      <w:divBdr>
        <w:top w:val="none" w:sz="0" w:space="0" w:color="auto"/>
        <w:left w:val="none" w:sz="0" w:space="0" w:color="auto"/>
        <w:bottom w:val="none" w:sz="0" w:space="0" w:color="auto"/>
        <w:right w:val="none" w:sz="0" w:space="0" w:color="auto"/>
      </w:divBdr>
    </w:div>
    <w:div w:id="406415005">
      <w:bodyDiv w:val="1"/>
      <w:marLeft w:val="0"/>
      <w:marRight w:val="0"/>
      <w:marTop w:val="0"/>
      <w:marBottom w:val="0"/>
      <w:divBdr>
        <w:top w:val="none" w:sz="0" w:space="0" w:color="auto"/>
        <w:left w:val="none" w:sz="0" w:space="0" w:color="auto"/>
        <w:bottom w:val="none" w:sz="0" w:space="0" w:color="auto"/>
        <w:right w:val="none" w:sz="0" w:space="0" w:color="auto"/>
      </w:divBdr>
    </w:div>
    <w:div w:id="470366112">
      <w:bodyDiv w:val="1"/>
      <w:marLeft w:val="0"/>
      <w:marRight w:val="0"/>
      <w:marTop w:val="0"/>
      <w:marBottom w:val="0"/>
      <w:divBdr>
        <w:top w:val="none" w:sz="0" w:space="0" w:color="auto"/>
        <w:left w:val="none" w:sz="0" w:space="0" w:color="auto"/>
        <w:bottom w:val="none" w:sz="0" w:space="0" w:color="auto"/>
        <w:right w:val="none" w:sz="0" w:space="0" w:color="auto"/>
      </w:divBdr>
    </w:div>
    <w:div w:id="587546221">
      <w:bodyDiv w:val="1"/>
      <w:marLeft w:val="0"/>
      <w:marRight w:val="0"/>
      <w:marTop w:val="0"/>
      <w:marBottom w:val="0"/>
      <w:divBdr>
        <w:top w:val="none" w:sz="0" w:space="0" w:color="auto"/>
        <w:left w:val="none" w:sz="0" w:space="0" w:color="auto"/>
        <w:bottom w:val="none" w:sz="0" w:space="0" w:color="auto"/>
        <w:right w:val="none" w:sz="0" w:space="0" w:color="auto"/>
      </w:divBdr>
    </w:div>
    <w:div w:id="725494171">
      <w:bodyDiv w:val="1"/>
      <w:marLeft w:val="0"/>
      <w:marRight w:val="0"/>
      <w:marTop w:val="0"/>
      <w:marBottom w:val="0"/>
      <w:divBdr>
        <w:top w:val="none" w:sz="0" w:space="0" w:color="auto"/>
        <w:left w:val="none" w:sz="0" w:space="0" w:color="auto"/>
        <w:bottom w:val="none" w:sz="0" w:space="0" w:color="auto"/>
        <w:right w:val="none" w:sz="0" w:space="0" w:color="auto"/>
      </w:divBdr>
    </w:div>
    <w:div w:id="739135755">
      <w:bodyDiv w:val="1"/>
      <w:marLeft w:val="0"/>
      <w:marRight w:val="0"/>
      <w:marTop w:val="0"/>
      <w:marBottom w:val="0"/>
      <w:divBdr>
        <w:top w:val="none" w:sz="0" w:space="0" w:color="auto"/>
        <w:left w:val="none" w:sz="0" w:space="0" w:color="auto"/>
        <w:bottom w:val="none" w:sz="0" w:space="0" w:color="auto"/>
        <w:right w:val="none" w:sz="0" w:space="0" w:color="auto"/>
      </w:divBdr>
    </w:div>
    <w:div w:id="818572453">
      <w:bodyDiv w:val="1"/>
      <w:marLeft w:val="0"/>
      <w:marRight w:val="0"/>
      <w:marTop w:val="0"/>
      <w:marBottom w:val="0"/>
      <w:divBdr>
        <w:top w:val="none" w:sz="0" w:space="0" w:color="auto"/>
        <w:left w:val="none" w:sz="0" w:space="0" w:color="auto"/>
        <w:bottom w:val="none" w:sz="0" w:space="0" w:color="auto"/>
        <w:right w:val="none" w:sz="0" w:space="0" w:color="auto"/>
      </w:divBdr>
    </w:div>
    <w:div w:id="1086272076">
      <w:bodyDiv w:val="1"/>
      <w:marLeft w:val="0"/>
      <w:marRight w:val="0"/>
      <w:marTop w:val="0"/>
      <w:marBottom w:val="0"/>
      <w:divBdr>
        <w:top w:val="none" w:sz="0" w:space="0" w:color="auto"/>
        <w:left w:val="none" w:sz="0" w:space="0" w:color="auto"/>
        <w:bottom w:val="none" w:sz="0" w:space="0" w:color="auto"/>
        <w:right w:val="none" w:sz="0" w:space="0" w:color="auto"/>
      </w:divBdr>
    </w:div>
    <w:div w:id="1314213037">
      <w:bodyDiv w:val="1"/>
      <w:marLeft w:val="0"/>
      <w:marRight w:val="0"/>
      <w:marTop w:val="0"/>
      <w:marBottom w:val="0"/>
      <w:divBdr>
        <w:top w:val="none" w:sz="0" w:space="0" w:color="auto"/>
        <w:left w:val="none" w:sz="0" w:space="0" w:color="auto"/>
        <w:bottom w:val="none" w:sz="0" w:space="0" w:color="auto"/>
        <w:right w:val="none" w:sz="0" w:space="0" w:color="auto"/>
      </w:divBdr>
    </w:div>
    <w:div w:id="1474516944">
      <w:bodyDiv w:val="1"/>
      <w:marLeft w:val="0"/>
      <w:marRight w:val="0"/>
      <w:marTop w:val="0"/>
      <w:marBottom w:val="0"/>
      <w:divBdr>
        <w:top w:val="none" w:sz="0" w:space="0" w:color="auto"/>
        <w:left w:val="none" w:sz="0" w:space="0" w:color="auto"/>
        <w:bottom w:val="none" w:sz="0" w:space="0" w:color="auto"/>
        <w:right w:val="none" w:sz="0" w:space="0" w:color="auto"/>
      </w:divBdr>
    </w:div>
    <w:div w:id="1736583548">
      <w:bodyDiv w:val="1"/>
      <w:marLeft w:val="0"/>
      <w:marRight w:val="0"/>
      <w:marTop w:val="0"/>
      <w:marBottom w:val="0"/>
      <w:divBdr>
        <w:top w:val="none" w:sz="0" w:space="0" w:color="auto"/>
        <w:left w:val="none" w:sz="0" w:space="0" w:color="auto"/>
        <w:bottom w:val="none" w:sz="0" w:space="0" w:color="auto"/>
        <w:right w:val="none" w:sz="0" w:space="0" w:color="auto"/>
      </w:divBdr>
    </w:div>
    <w:div w:id="1779137932">
      <w:bodyDiv w:val="1"/>
      <w:marLeft w:val="0"/>
      <w:marRight w:val="0"/>
      <w:marTop w:val="0"/>
      <w:marBottom w:val="0"/>
      <w:divBdr>
        <w:top w:val="none" w:sz="0" w:space="0" w:color="auto"/>
        <w:left w:val="none" w:sz="0" w:space="0" w:color="auto"/>
        <w:bottom w:val="none" w:sz="0" w:space="0" w:color="auto"/>
        <w:right w:val="none" w:sz="0" w:space="0" w:color="auto"/>
      </w:divBdr>
    </w:div>
    <w:div w:id="1817602002">
      <w:bodyDiv w:val="1"/>
      <w:marLeft w:val="0"/>
      <w:marRight w:val="0"/>
      <w:marTop w:val="0"/>
      <w:marBottom w:val="0"/>
      <w:divBdr>
        <w:top w:val="none" w:sz="0" w:space="0" w:color="auto"/>
        <w:left w:val="none" w:sz="0" w:space="0" w:color="auto"/>
        <w:bottom w:val="none" w:sz="0" w:space="0" w:color="auto"/>
        <w:right w:val="none" w:sz="0" w:space="0" w:color="auto"/>
      </w:divBdr>
    </w:div>
    <w:div w:id="1992827980">
      <w:bodyDiv w:val="1"/>
      <w:marLeft w:val="0"/>
      <w:marRight w:val="0"/>
      <w:marTop w:val="0"/>
      <w:marBottom w:val="0"/>
      <w:divBdr>
        <w:top w:val="none" w:sz="0" w:space="0" w:color="auto"/>
        <w:left w:val="none" w:sz="0" w:space="0" w:color="auto"/>
        <w:bottom w:val="none" w:sz="0" w:space="0" w:color="auto"/>
        <w:right w:val="none" w:sz="0" w:space="0" w:color="auto"/>
      </w:divBdr>
    </w:div>
    <w:div w:id="2014795109">
      <w:bodyDiv w:val="1"/>
      <w:marLeft w:val="0"/>
      <w:marRight w:val="0"/>
      <w:marTop w:val="0"/>
      <w:marBottom w:val="0"/>
      <w:divBdr>
        <w:top w:val="none" w:sz="0" w:space="0" w:color="auto"/>
        <w:left w:val="none" w:sz="0" w:space="0" w:color="auto"/>
        <w:bottom w:val="none" w:sz="0" w:space="0" w:color="auto"/>
        <w:right w:val="none" w:sz="0" w:space="0" w:color="auto"/>
      </w:divBdr>
      <w:divsChild>
        <w:div w:id="1917280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#ALEXANDER LIM HAN YANG#</cp:lastModifiedBy>
  <cp:revision>18</cp:revision>
  <dcterms:created xsi:type="dcterms:W3CDTF">2025-07-11T09:04:00Z</dcterms:created>
  <dcterms:modified xsi:type="dcterms:W3CDTF">2025-07-14T16:46:00Z</dcterms:modified>
</cp:coreProperties>
</file>